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003" w:rsidRPr="0052570E" w:rsidRDefault="00206003" w:rsidP="00206003">
      <w:pPr>
        <w:spacing w:after="0" w:line="360" w:lineRule="auto"/>
        <w:jc w:val="both"/>
        <w:rPr>
          <w:rFonts w:ascii="Palatino Linotype" w:hAnsi="Palatino Linotype"/>
          <w:b/>
          <w:sz w:val="24"/>
          <w:szCs w:val="24"/>
        </w:rPr>
      </w:pPr>
    </w:p>
    <w:p w:rsidR="00206003" w:rsidRPr="0077579A" w:rsidRDefault="00B74007" w:rsidP="00B74007">
      <w:pPr>
        <w:spacing w:after="0" w:line="360" w:lineRule="auto"/>
        <w:jc w:val="both"/>
        <w:rPr>
          <w:rFonts w:ascii="Palatino Linotype" w:hAnsi="Palatino Linotype"/>
          <w:b/>
          <w:sz w:val="23"/>
          <w:szCs w:val="23"/>
        </w:rPr>
      </w:pPr>
      <w:r w:rsidRPr="00D12EC2">
        <w:rPr>
          <w:rFonts w:ascii="Palatino Linotype" w:hAnsi="Palatino Linotype"/>
          <w:b/>
          <w:sz w:val="23"/>
          <w:szCs w:val="23"/>
        </w:rPr>
        <w:t>VOTO PARTICULAR CONCURRENTE QUE FORMULAN LOS COM</w:t>
      </w:r>
      <w:r>
        <w:rPr>
          <w:rFonts w:ascii="Palatino Linotype" w:hAnsi="Palatino Linotype"/>
          <w:b/>
          <w:sz w:val="23"/>
          <w:szCs w:val="23"/>
        </w:rPr>
        <w:t xml:space="preserve">ISIONADOS JAVIER MARTÍNEZ CRUZ Y </w:t>
      </w:r>
      <w:r w:rsidRPr="00D12EC2">
        <w:rPr>
          <w:rFonts w:ascii="Palatino Linotype" w:hAnsi="Palatino Linotype"/>
          <w:b/>
          <w:sz w:val="23"/>
          <w:szCs w:val="23"/>
        </w:rPr>
        <w:t xml:space="preserve">ZULEMA MARTÍNEZ SÁNCHEZ, EN RELACIÓN CON LA RESOLUCIÓN DICTADA POR EL PLENO DEL INSTITUTO DE TRANSPARENCIA, ACCESO A LA INFORMACIÓN PÚBLICA Y PROTECCIÓN DE DATOS PERSONALES DEL ESTADO DE MÉXICO Y MUNICIPIOS, EN LA </w:t>
      </w:r>
      <w:r>
        <w:rPr>
          <w:rFonts w:ascii="Palatino Linotype" w:hAnsi="Palatino Linotype"/>
          <w:b/>
          <w:sz w:val="23"/>
          <w:szCs w:val="23"/>
        </w:rPr>
        <w:t>SEGUNDA</w:t>
      </w:r>
      <w:r w:rsidRPr="00D12EC2">
        <w:rPr>
          <w:rFonts w:ascii="Palatino Linotype" w:hAnsi="Palatino Linotype"/>
          <w:b/>
          <w:sz w:val="23"/>
          <w:szCs w:val="23"/>
        </w:rPr>
        <w:t xml:space="preserve"> SESIÓN ORDINARIA DEL </w:t>
      </w:r>
      <w:r>
        <w:rPr>
          <w:rFonts w:ascii="Palatino Linotype" w:hAnsi="Palatino Linotype"/>
          <w:b/>
          <w:sz w:val="23"/>
          <w:szCs w:val="23"/>
        </w:rPr>
        <w:t xml:space="preserve">DIECISÉIS DE ENERO </w:t>
      </w:r>
      <w:r w:rsidRPr="00D12EC2">
        <w:rPr>
          <w:rFonts w:ascii="Palatino Linotype" w:hAnsi="Palatino Linotype"/>
          <w:b/>
          <w:sz w:val="23"/>
          <w:szCs w:val="23"/>
        </w:rPr>
        <w:t>DE DOS MIL DIECI</w:t>
      </w:r>
      <w:r>
        <w:rPr>
          <w:rFonts w:ascii="Palatino Linotype" w:hAnsi="Palatino Linotype"/>
          <w:b/>
          <w:sz w:val="23"/>
          <w:szCs w:val="23"/>
        </w:rPr>
        <w:t>NUEVE, EN EL RECURSO DE REVISIÓN</w:t>
      </w:r>
      <w:r w:rsidR="00206003" w:rsidRPr="0077579A">
        <w:rPr>
          <w:rFonts w:ascii="Palatino Linotype" w:hAnsi="Palatino Linotype"/>
          <w:b/>
          <w:sz w:val="23"/>
          <w:szCs w:val="23"/>
        </w:rPr>
        <w:t xml:space="preserve"> </w:t>
      </w:r>
      <w:r w:rsidR="00206003" w:rsidRPr="0077579A">
        <w:rPr>
          <w:rFonts w:ascii="Palatino Linotype" w:hAnsi="Palatino Linotype"/>
          <w:b/>
          <w:bCs/>
          <w:sz w:val="23"/>
          <w:szCs w:val="23"/>
        </w:rPr>
        <w:t>04012/INFOEM/IP/RR/2018 Y 04063/INFOEM/IP/RR/2018 ACUMULADO.</w:t>
      </w:r>
    </w:p>
    <w:p w:rsidR="00206003" w:rsidRPr="0077579A" w:rsidRDefault="00206003" w:rsidP="00206003">
      <w:pPr>
        <w:spacing w:before="240" w:after="240" w:line="360" w:lineRule="auto"/>
        <w:jc w:val="both"/>
        <w:rPr>
          <w:rFonts w:ascii="Palatino Linotype" w:hAnsi="Palatino Linotype"/>
          <w:sz w:val="23"/>
          <w:szCs w:val="23"/>
        </w:rPr>
      </w:pPr>
      <w:r w:rsidRPr="0077579A">
        <w:rPr>
          <w:rFonts w:ascii="Palatino Linotype" w:hAnsi="Palatino Linotype"/>
          <w:sz w:val="23"/>
          <w:szCs w:val="23"/>
        </w:rPr>
        <w:t xml:space="preserve">El Pleno del Instituto de Transparencia, Acceso a la Información Pública y Protección de Datos Personales del Estado de México resolvió por unanimidad de votos, la resolución relativa al recurso de revisión </w:t>
      </w:r>
      <w:r w:rsidRPr="0077579A">
        <w:rPr>
          <w:rFonts w:ascii="Palatino Linotype" w:hAnsi="Palatino Linotype" w:cs="Arial"/>
          <w:b/>
          <w:bCs/>
          <w:sz w:val="23"/>
          <w:szCs w:val="23"/>
          <w:lang w:eastAsia="es-MX"/>
        </w:rPr>
        <w:t>04012/INFOEM/IP/RR/2018</w:t>
      </w:r>
      <w:r w:rsidRPr="0077579A">
        <w:rPr>
          <w:rFonts w:ascii="Palatino Linotype" w:hAnsi="Palatino Linotype"/>
          <w:b/>
          <w:bCs/>
          <w:sz w:val="23"/>
          <w:szCs w:val="23"/>
        </w:rPr>
        <w:t xml:space="preserve"> </w:t>
      </w:r>
      <w:r w:rsidRPr="0077579A">
        <w:rPr>
          <w:rFonts w:ascii="Palatino Linotype" w:hAnsi="Palatino Linotype" w:cs="Arial"/>
          <w:b/>
          <w:bCs/>
          <w:sz w:val="23"/>
          <w:szCs w:val="23"/>
          <w:lang w:eastAsia="es-MX"/>
        </w:rPr>
        <w:t xml:space="preserve">Y 04063/INFOEM/IP/RR/2018 acumulado, </w:t>
      </w:r>
      <w:r w:rsidRPr="0077579A">
        <w:rPr>
          <w:rFonts w:ascii="Palatino Linotype" w:hAnsi="Palatino Linotype"/>
          <w:sz w:val="23"/>
          <w:szCs w:val="23"/>
        </w:rPr>
        <w:t xml:space="preserve">presentada por la Comisionada Eva </w:t>
      </w:r>
      <w:proofErr w:type="spellStart"/>
      <w:r w:rsidRPr="0077579A">
        <w:rPr>
          <w:rFonts w:ascii="Palatino Linotype" w:hAnsi="Palatino Linotype"/>
          <w:sz w:val="23"/>
          <w:szCs w:val="23"/>
        </w:rPr>
        <w:t>Abaid</w:t>
      </w:r>
      <w:proofErr w:type="spellEnd"/>
      <w:r w:rsidRPr="0077579A">
        <w:rPr>
          <w:rFonts w:ascii="Palatino Linotype" w:hAnsi="Palatino Linotype"/>
          <w:sz w:val="23"/>
          <w:szCs w:val="23"/>
        </w:rPr>
        <w:t xml:space="preserve"> </w:t>
      </w:r>
      <w:proofErr w:type="spellStart"/>
      <w:r w:rsidRPr="0077579A">
        <w:rPr>
          <w:rFonts w:ascii="Palatino Linotype" w:hAnsi="Palatino Linotype"/>
          <w:sz w:val="23"/>
          <w:szCs w:val="23"/>
        </w:rPr>
        <w:t>Yapur</w:t>
      </w:r>
      <w:proofErr w:type="spellEnd"/>
      <w:r w:rsidRPr="0077579A">
        <w:rPr>
          <w:rFonts w:ascii="Palatino Linotype" w:hAnsi="Palatino Linotype"/>
          <w:sz w:val="23"/>
          <w:szCs w:val="23"/>
        </w:rPr>
        <w:t xml:space="preserve">, respecto de la cual el Comisionado Javier Martínez Cruz </w:t>
      </w:r>
      <w:r w:rsidR="00B74007">
        <w:rPr>
          <w:rFonts w:ascii="Palatino Linotype" w:hAnsi="Palatino Linotype"/>
          <w:sz w:val="23"/>
          <w:szCs w:val="23"/>
        </w:rPr>
        <w:t xml:space="preserve">y la Comisionada Zulema Martínez Sánchez </w:t>
      </w:r>
      <w:r w:rsidRPr="0077579A">
        <w:rPr>
          <w:rFonts w:ascii="Palatino Linotype" w:hAnsi="Palatino Linotype"/>
          <w:sz w:val="23"/>
          <w:szCs w:val="23"/>
        </w:rPr>
        <w:t>emite</w:t>
      </w:r>
      <w:r w:rsidR="00B74007">
        <w:rPr>
          <w:rFonts w:ascii="Palatino Linotype" w:hAnsi="Palatino Linotype"/>
          <w:sz w:val="23"/>
          <w:szCs w:val="23"/>
        </w:rPr>
        <w:t>n</w:t>
      </w:r>
      <w:r w:rsidRPr="0077579A">
        <w:rPr>
          <w:rFonts w:ascii="Palatino Linotype" w:hAnsi="Palatino Linotype"/>
          <w:sz w:val="23"/>
          <w:szCs w:val="23"/>
        </w:rPr>
        <w:t xml:space="preserve"> </w:t>
      </w:r>
      <w:r w:rsidRPr="0077579A">
        <w:rPr>
          <w:rFonts w:ascii="Palatino Linotype" w:hAnsi="Palatino Linotype"/>
          <w:b/>
          <w:sz w:val="23"/>
          <w:szCs w:val="23"/>
        </w:rPr>
        <w:t>VOTO PARTICULAR</w:t>
      </w:r>
      <w:r w:rsidR="00B74007">
        <w:rPr>
          <w:rFonts w:ascii="Palatino Linotype" w:hAnsi="Palatino Linotype"/>
          <w:b/>
          <w:sz w:val="23"/>
          <w:szCs w:val="23"/>
        </w:rPr>
        <w:t xml:space="preserve"> CONCURRENTE</w:t>
      </w:r>
      <w:r w:rsidRPr="0077579A">
        <w:rPr>
          <w:rFonts w:ascii="Palatino Linotype" w:hAnsi="Palatino Linotype"/>
          <w:sz w:val="23"/>
          <w:szCs w:val="23"/>
        </w:rPr>
        <w:t xml:space="preserve"> con fundamento en el artículo 14 fracción XI del Reglamento del Instituto de Transparencia, Acceso a la Información Pública y Protección de Personales Datos del Estado de México.</w:t>
      </w:r>
    </w:p>
    <w:p w:rsidR="00206003" w:rsidRPr="0077579A" w:rsidRDefault="00206003" w:rsidP="00206003">
      <w:pPr>
        <w:spacing w:before="240" w:after="240" w:line="360" w:lineRule="auto"/>
        <w:jc w:val="both"/>
        <w:rPr>
          <w:rFonts w:ascii="Palatino Linotype" w:hAnsi="Palatino Linotype"/>
          <w:sz w:val="23"/>
          <w:szCs w:val="23"/>
        </w:rPr>
      </w:pPr>
      <w:r w:rsidRPr="0077579A">
        <w:rPr>
          <w:rFonts w:ascii="Palatino Linotype" w:hAnsi="Palatino Linotype"/>
          <w:sz w:val="23"/>
          <w:szCs w:val="23"/>
        </w:rPr>
        <w:t xml:space="preserve">La materia en que radicó el recurso de revisión, consistió en que el particular pidió al Ayuntamiento de </w:t>
      </w:r>
      <w:proofErr w:type="spellStart"/>
      <w:r w:rsidRPr="0077579A">
        <w:rPr>
          <w:rFonts w:ascii="Palatino Linotype" w:hAnsi="Palatino Linotype"/>
          <w:sz w:val="23"/>
          <w:szCs w:val="23"/>
        </w:rPr>
        <w:t>Ocoyoacac</w:t>
      </w:r>
      <w:proofErr w:type="spellEnd"/>
      <w:r w:rsidRPr="0077579A">
        <w:rPr>
          <w:rFonts w:ascii="Palatino Linotype" w:hAnsi="Palatino Linotype"/>
          <w:sz w:val="23"/>
          <w:szCs w:val="23"/>
        </w:rPr>
        <w:t xml:space="preserve">, le proporcionara la información descrita </w:t>
      </w:r>
      <w:r w:rsidRPr="0077579A">
        <w:rPr>
          <w:rFonts w:ascii="Palatino Linotype" w:eastAsia="Times New Roman" w:hAnsi="Palatino Linotype" w:cs="Tahoma"/>
          <w:bCs/>
          <w:sz w:val="23"/>
          <w:szCs w:val="23"/>
          <w:lang w:val="es-ES" w:eastAsia="es-ES"/>
        </w:rPr>
        <w:t xml:space="preserve">en las fracciones II, VIII, X, XII, XXV, XXVI, XXVIII, XXX, XXXII, XXXV, XXXVII,  XXXVIII, XL, XLVII del artículo 92, así como la descrita en el artículo 94, fracción I, inciso b), d) y f), ambos de la </w:t>
      </w:r>
      <w:r w:rsidRPr="0077579A">
        <w:rPr>
          <w:rFonts w:ascii="Palatino Linotype" w:eastAsia="Times New Roman" w:hAnsi="Palatino Linotype" w:cs="Tahoma"/>
          <w:bCs/>
          <w:sz w:val="23"/>
          <w:szCs w:val="23"/>
          <w:lang w:val="es-ES" w:eastAsia="es-ES"/>
        </w:rPr>
        <w:lastRenderedPageBreak/>
        <w:t xml:space="preserve">Ley de Transparencia, Acceso a la Información Pública del Estado de México y Municipios. </w:t>
      </w:r>
    </w:p>
    <w:p w:rsidR="00206003" w:rsidRPr="0077579A" w:rsidRDefault="00206003" w:rsidP="00206003">
      <w:pPr>
        <w:spacing w:before="240" w:after="240" w:line="360" w:lineRule="auto"/>
        <w:jc w:val="both"/>
        <w:rPr>
          <w:rFonts w:ascii="Palatino Linotype" w:hAnsi="Palatino Linotype"/>
          <w:sz w:val="23"/>
          <w:szCs w:val="23"/>
        </w:rPr>
      </w:pPr>
      <w:r w:rsidRPr="0077579A">
        <w:rPr>
          <w:rFonts w:ascii="Palatino Linotype" w:hAnsi="Palatino Linotype"/>
          <w:sz w:val="23"/>
          <w:szCs w:val="23"/>
        </w:rPr>
        <w:t xml:space="preserve">El Sujeto Obligado en respuesta proporcionó las direcciones web en donde el particular puede consultar la información. </w:t>
      </w:r>
    </w:p>
    <w:p w:rsidR="00206003" w:rsidRPr="0077579A" w:rsidRDefault="00206003" w:rsidP="00206003">
      <w:pPr>
        <w:spacing w:before="240" w:after="240" w:line="360" w:lineRule="auto"/>
        <w:jc w:val="both"/>
        <w:rPr>
          <w:rFonts w:ascii="Palatino Linotype" w:hAnsi="Palatino Linotype"/>
          <w:sz w:val="23"/>
          <w:szCs w:val="23"/>
        </w:rPr>
      </w:pPr>
      <w:r w:rsidRPr="0077579A">
        <w:rPr>
          <w:rFonts w:ascii="Palatino Linotype" w:hAnsi="Palatino Linotype"/>
          <w:sz w:val="23"/>
          <w:szCs w:val="23"/>
        </w:rPr>
        <w:t xml:space="preserve">Inconforme con las respuestas, el particular procedió a través de los recursos de revisión que se resuelven, manifestando en ambos como </w:t>
      </w:r>
      <w:r w:rsidRPr="0077579A">
        <w:rPr>
          <w:rFonts w:ascii="Palatino Linotype" w:hAnsi="Palatino Linotype"/>
          <w:b/>
          <w:sz w:val="23"/>
          <w:szCs w:val="23"/>
        </w:rPr>
        <w:t>acto impugnado</w:t>
      </w:r>
      <w:r w:rsidRPr="0077579A">
        <w:rPr>
          <w:rFonts w:ascii="Palatino Linotype" w:hAnsi="Palatino Linotype"/>
          <w:sz w:val="23"/>
          <w:szCs w:val="23"/>
        </w:rPr>
        <w:t xml:space="preserve"> la entrega de información incompleta concretamente como </w:t>
      </w:r>
      <w:r w:rsidRPr="0077579A">
        <w:rPr>
          <w:rFonts w:ascii="Palatino Linotype" w:hAnsi="Palatino Linotype"/>
          <w:b/>
          <w:sz w:val="23"/>
          <w:szCs w:val="23"/>
        </w:rPr>
        <w:t xml:space="preserve">motivos de inconformidad </w:t>
      </w:r>
      <w:r w:rsidRPr="0077579A">
        <w:rPr>
          <w:rFonts w:ascii="Palatino Linotype" w:hAnsi="Palatino Linotype"/>
          <w:sz w:val="23"/>
          <w:szCs w:val="23"/>
        </w:rPr>
        <w:t xml:space="preserve">que el Sujeto Obligado debe poner a su disposición la información solicitada, del periodo comprendido del 11 de septiembre de 2017 al 11 de septiembre de 2018; </w:t>
      </w:r>
      <w:r w:rsidRPr="0077579A">
        <w:rPr>
          <w:rFonts w:ascii="Palatino Linotype" w:eastAsia="Times New Roman" w:hAnsi="Palatino Linotype" w:cs="Tahoma"/>
          <w:bCs/>
          <w:sz w:val="23"/>
          <w:szCs w:val="23"/>
          <w:lang w:val="es-ES" w:eastAsia="es-ES"/>
        </w:rPr>
        <w:t>que procedió a verificar la liga proporcionada por el Sujeto Obligado en su respuesta, mencionando diversas irregularidades en el llenado, actualización y presentación de las obligaciones de Transparencia del Sujeto Obligado.</w:t>
      </w:r>
      <w:r w:rsidRPr="0077579A">
        <w:rPr>
          <w:rFonts w:ascii="Palatino Linotype" w:hAnsi="Palatino Linotype"/>
          <w:sz w:val="23"/>
          <w:szCs w:val="23"/>
        </w:rPr>
        <w:t xml:space="preserve"> </w:t>
      </w:r>
    </w:p>
    <w:p w:rsidR="00206003" w:rsidRPr="0077579A" w:rsidRDefault="00206003" w:rsidP="00206003">
      <w:pPr>
        <w:spacing w:before="240" w:after="240" w:line="360" w:lineRule="auto"/>
        <w:jc w:val="both"/>
        <w:rPr>
          <w:rFonts w:ascii="Palatino Linotype" w:eastAsia="Times New Roman" w:hAnsi="Palatino Linotype" w:cs="Tahoma"/>
          <w:sz w:val="23"/>
          <w:szCs w:val="23"/>
          <w:lang w:eastAsia="es-ES"/>
        </w:rPr>
      </w:pPr>
      <w:r w:rsidRPr="0077579A">
        <w:rPr>
          <w:rFonts w:ascii="Palatino Linotype" w:hAnsi="Palatino Linotype"/>
          <w:sz w:val="23"/>
          <w:szCs w:val="23"/>
        </w:rPr>
        <w:t xml:space="preserve">En el estudio de fondo de la resolución, la Ponencia </w:t>
      </w:r>
      <w:proofErr w:type="spellStart"/>
      <w:r w:rsidRPr="0077579A">
        <w:rPr>
          <w:rFonts w:ascii="Palatino Linotype" w:hAnsi="Palatino Linotype"/>
          <w:sz w:val="23"/>
          <w:szCs w:val="23"/>
        </w:rPr>
        <w:t>resolutora</w:t>
      </w:r>
      <w:proofErr w:type="spellEnd"/>
      <w:r w:rsidRPr="0077579A">
        <w:rPr>
          <w:rFonts w:ascii="Palatino Linotype" w:hAnsi="Palatino Linotype"/>
          <w:sz w:val="23"/>
          <w:szCs w:val="23"/>
        </w:rPr>
        <w:t xml:space="preserve"> revisó los links de las páginas webs proporcionadas por el </w:t>
      </w:r>
      <w:r w:rsidRPr="0077579A">
        <w:rPr>
          <w:rFonts w:ascii="Palatino Linotype" w:eastAsia="Times New Roman" w:hAnsi="Palatino Linotype" w:cs="Tahoma"/>
          <w:sz w:val="23"/>
          <w:szCs w:val="23"/>
          <w:lang w:eastAsia="es-ES"/>
        </w:rPr>
        <w:t xml:space="preserve">Sujeto Obligado, de la cual advirtió que cada una de las fracciones contiene información, no obstante la información es incompleta.  </w:t>
      </w:r>
    </w:p>
    <w:p w:rsidR="00206003" w:rsidRPr="0077579A" w:rsidRDefault="00206003" w:rsidP="00206003">
      <w:pPr>
        <w:spacing w:before="240" w:after="240" w:line="360" w:lineRule="auto"/>
        <w:jc w:val="both"/>
        <w:rPr>
          <w:rFonts w:ascii="Palatino Linotype" w:eastAsia="Times New Roman" w:hAnsi="Palatino Linotype" w:cs="Tahoma"/>
          <w:sz w:val="23"/>
          <w:szCs w:val="23"/>
          <w:lang w:eastAsia="es-ES"/>
        </w:rPr>
      </w:pPr>
      <w:r w:rsidRPr="0077579A">
        <w:rPr>
          <w:rFonts w:ascii="Palatino Linotype" w:eastAsia="Times New Roman" w:hAnsi="Palatino Linotype" w:cs="Tahoma"/>
          <w:sz w:val="23"/>
          <w:szCs w:val="23"/>
          <w:lang w:eastAsia="es-ES"/>
        </w:rPr>
        <w:t xml:space="preserve">De tal forma, la </w:t>
      </w:r>
      <w:proofErr w:type="spellStart"/>
      <w:r w:rsidRPr="0077579A">
        <w:rPr>
          <w:rFonts w:ascii="Palatino Linotype" w:eastAsia="Times New Roman" w:hAnsi="Palatino Linotype" w:cs="Tahoma"/>
          <w:sz w:val="23"/>
          <w:szCs w:val="23"/>
          <w:lang w:eastAsia="es-ES"/>
        </w:rPr>
        <w:t>resolutora</w:t>
      </w:r>
      <w:proofErr w:type="spellEnd"/>
      <w:r w:rsidRPr="0077579A">
        <w:rPr>
          <w:rFonts w:ascii="Palatino Linotype" w:eastAsia="Times New Roman" w:hAnsi="Palatino Linotype" w:cs="Tahoma"/>
          <w:sz w:val="23"/>
          <w:szCs w:val="23"/>
          <w:lang w:eastAsia="es-ES"/>
        </w:rPr>
        <w:t xml:space="preserve"> analizó la información de cada una de las fracciones y artículos solicitados por el particular, por lo que determinó parcialmente fundados los motivos de inconformidad del Recurrente y resolvió modificar las respuestas, para ordenar la entrega de la información omitida en los términos siguientes: </w:t>
      </w:r>
    </w:p>
    <w:p w:rsidR="00206003" w:rsidRPr="00FA284C" w:rsidRDefault="00206003" w:rsidP="00206003">
      <w:pPr>
        <w:shd w:val="clear" w:color="auto" w:fill="FFFFFF"/>
        <w:spacing w:after="0" w:line="240" w:lineRule="auto"/>
        <w:ind w:left="851" w:right="851"/>
        <w:rPr>
          <w:rFonts w:ascii="Palatino Linotype" w:eastAsia="Calibri" w:hAnsi="Palatino Linotype" w:cs="Tahoma"/>
          <w:b/>
          <w:bCs/>
          <w:i/>
        </w:rPr>
      </w:pPr>
      <w:r w:rsidRPr="002F02E8">
        <w:rPr>
          <w:rFonts w:ascii="Palatino Linotype" w:eastAsia="Calibri" w:hAnsi="Palatino Linotype" w:cs="Tahoma"/>
          <w:bCs/>
          <w:i/>
          <w:lang w:val="es-ES"/>
        </w:rPr>
        <w:lastRenderedPageBreak/>
        <w:t>“</w:t>
      </w:r>
      <w:r w:rsidRPr="00FA284C">
        <w:rPr>
          <w:rFonts w:ascii="Palatino Linotype" w:eastAsia="Calibri" w:hAnsi="Palatino Linotype" w:cs="Tahoma"/>
          <w:b/>
          <w:bCs/>
          <w:i/>
        </w:rPr>
        <w:t>I. Del periodo comprendido del 5 de septiembre de 2017 al 5 de septiembre de 2018:</w:t>
      </w:r>
    </w:p>
    <w:p w:rsidR="00206003" w:rsidRPr="00FA284C" w:rsidRDefault="00206003" w:rsidP="00206003">
      <w:pPr>
        <w:shd w:val="clear" w:color="auto" w:fill="FFFFFF"/>
        <w:spacing w:after="0" w:line="240" w:lineRule="auto"/>
        <w:ind w:left="851" w:right="851"/>
        <w:jc w:val="both"/>
        <w:rPr>
          <w:rFonts w:ascii="Palatino Linotype" w:eastAsia="Calibri" w:hAnsi="Palatino Linotype" w:cs="Tahoma"/>
          <w:bCs/>
          <w:i/>
          <w:lang w:val="es-ES"/>
        </w:rPr>
      </w:pPr>
    </w:p>
    <w:p w:rsidR="00206003" w:rsidRPr="00FA284C" w:rsidRDefault="00206003" w:rsidP="00206003">
      <w:pPr>
        <w:shd w:val="clear" w:color="auto" w:fill="FFFFFF"/>
        <w:spacing w:after="0" w:line="240" w:lineRule="auto"/>
        <w:ind w:left="851" w:right="851"/>
        <w:jc w:val="both"/>
        <w:rPr>
          <w:rFonts w:ascii="Palatino Linotype" w:eastAsia="Calibri" w:hAnsi="Palatino Linotype" w:cs="Tahoma"/>
          <w:bCs/>
          <w:i/>
          <w:lang w:val="es-ES"/>
        </w:rPr>
      </w:pPr>
      <w:r w:rsidRPr="00FA284C">
        <w:rPr>
          <w:rFonts w:ascii="Palatino Linotype" w:eastAsia="Calibri" w:hAnsi="Palatino Linotype" w:cs="Tahoma"/>
          <w:bCs/>
          <w:i/>
          <w:lang w:val="es-ES"/>
        </w:rPr>
        <w:t xml:space="preserve">a) Los informes de resultados de las auditorías al ejercicio presupuestal de cada sujeto obligado que se hayan realizado y, en su caso, las aclaraciones que correspondieran; </w:t>
      </w:r>
    </w:p>
    <w:p w:rsidR="00206003" w:rsidRPr="00FA284C" w:rsidRDefault="00206003" w:rsidP="00206003">
      <w:pPr>
        <w:shd w:val="clear" w:color="auto" w:fill="FFFFFF"/>
        <w:spacing w:after="0" w:line="240" w:lineRule="auto"/>
        <w:ind w:left="851" w:right="851"/>
        <w:jc w:val="both"/>
        <w:rPr>
          <w:rFonts w:ascii="Palatino Linotype" w:eastAsia="Calibri" w:hAnsi="Palatino Linotype" w:cs="Tahoma"/>
          <w:bCs/>
          <w:i/>
          <w:lang w:val="es-ES"/>
        </w:rPr>
      </w:pPr>
      <w:r w:rsidRPr="00FA284C">
        <w:rPr>
          <w:rFonts w:ascii="Palatino Linotype" w:eastAsia="Calibri" w:hAnsi="Palatino Linotype" w:cs="Tahoma"/>
          <w:bCs/>
          <w:i/>
          <w:lang w:val="es-ES"/>
        </w:rPr>
        <w:t>b) Las resoluciones y laudos que se hayan emitido en procesos o procedimientos seguidos en forma de juicio; y que hayan causado estado;</w:t>
      </w:r>
    </w:p>
    <w:p w:rsidR="00206003" w:rsidRPr="00FA284C" w:rsidRDefault="00206003" w:rsidP="00206003">
      <w:pPr>
        <w:shd w:val="clear" w:color="auto" w:fill="FFFFFF"/>
        <w:spacing w:after="0" w:line="240" w:lineRule="auto"/>
        <w:ind w:left="851" w:right="851"/>
        <w:jc w:val="both"/>
        <w:rPr>
          <w:rFonts w:ascii="Palatino Linotype" w:eastAsia="Calibri" w:hAnsi="Palatino Linotype" w:cs="Tahoma"/>
          <w:bCs/>
          <w:i/>
          <w:lang w:val="es-ES"/>
        </w:rPr>
      </w:pPr>
    </w:p>
    <w:p w:rsidR="00206003" w:rsidRPr="00FA284C" w:rsidRDefault="00206003" w:rsidP="00206003">
      <w:pPr>
        <w:shd w:val="clear" w:color="auto" w:fill="FFFFFF"/>
        <w:spacing w:after="0" w:line="240" w:lineRule="auto"/>
        <w:ind w:left="851" w:right="851"/>
        <w:jc w:val="both"/>
        <w:rPr>
          <w:rFonts w:ascii="Palatino Linotype" w:eastAsia="Calibri" w:hAnsi="Palatino Linotype" w:cs="Tahoma"/>
          <w:b/>
          <w:bCs/>
          <w:i/>
          <w:lang w:val="es-ES"/>
        </w:rPr>
      </w:pPr>
      <w:r w:rsidRPr="00FA284C">
        <w:rPr>
          <w:rFonts w:ascii="Palatino Linotype" w:eastAsia="Calibri" w:hAnsi="Palatino Linotype" w:cs="Tahoma"/>
          <w:b/>
          <w:bCs/>
          <w:i/>
          <w:lang w:val="es-ES"/>
        </w:rPr>
        <w:t>II. Del 1 de enero al 5 de septiembre de 2018 de:</w:t>
      </w:r>
    </w:p>
    <w:p w:rsidR="00206003" w:rsidRPr="00FA284C" w:rsidRDefault="00206003" w:rsidP="00206003">
      <w:pPr>
        <w:shd w:val="clear" w:color="auto" w:fill="FFFFFF"/>
        <w:spacing w:after="0" w:line="240" w:lineRule="auto"/>
        <w:ind w:left="851" w:right="851"/>
        <w:jc w:val="both"/>
        <w:rPr>
          <w:rFonts w:ascii="Palatino Linotype" w:eastAsia="Calibri" w:hAnsi="Palatino Linotype" w:cs="Tahoma"/>
          <w:bCs/>
          <w:i/>
          <w:lang w:val="es-ES"/>
        </w:rPr>
      </w:pPr>
    </w:p>
    <w:p w:rsidR="00206003" w:rsidRPr="00FA284C" w:rsidRDefault="00206003" w:rsidP="00206003">
      <w:pPr>
        <w:shd w:val="clear" w:color="auto" w:fill="FFFFFF"/>
        <w:spacing w:after="0" w:line="240" w:lineRule="auto"/>
        <w:ind w:left="851" w:right="851"/>
        <w:jc w:val="both"/>
        <w:rPr>
          <w:rFonts w:ascii="Palatino Linotype" w:eastAsia="Calibri" w:hAnsi="Palatino Linotype" w:cs="Tahoma"/>
          <w:bCs/>
          <w:i/>
          <w:lang w:val="es-ES"/>
        </w:rPr>
      </w:pPr>
      <w:r w:rsidRPr="00FA284C">
        <w:rPr>
          <w:rFonts w:ascii="Palatino Linotype" w:eastAsia="Calibri" w:hAnsi="Palatino Linotype" w:cs="Tahoma"/>
          <w:bCs/>
          <w:i/>
          <w:lang w:val="es-ES"/>
        </w:rPr>
        <w:t xml:space="preserve">c) El resultado de la </w:t>
      </w:r>
      <w:proofErr w:type="spellStart"/>
      <w:r w:rsidRPr="00FA284C">
        <w:rPr>
          <w:rFonts w:ascii="Palatino Linotype" w:eastAsia="Calibri" w:hAnsi="Palatino Linotype" w:cs="Tahoma"/>
          <w:bCs/>
          <w:i/>
          <w:lang w:val="es-ES"/>
        </w:rPr>
        <w:t>dictaminación</w:t>
      </w:r>
      <w:proofErr w:type="spellEnd"/>
      <w:r w:rsidRPr="00FA284C">
        <w:rPr>
          <w:rFonts w:ascii="Palatino Linotype" w:eastAsia="Calibri" w:hAnsi="Palatino Linotype" w:cs="Tahoma"/>
          <w:bCs/>
          <w:i/>
          <w:lang w:val="es-ES"/>
        </w:rPr>
        <w:t xml:space="preserve"> de los estados financieros; </w:t>
      </w:r>
    </w:p>
    <w:p w:rsidR="00206003" w:rsidRPr="00FA284C" w:rsidRDefault="00206003" w:rsidP="00206003">
      <w:pPr>
        <w:shd w:val="clear" w:color="auto" w:fill="FFFFFF"/>
        <w:spacing w:after="0" w:line="240" w:lineRule="auto"/>
        <w:ind w:left="851" w:right="851"/>
        <w:jc w:val="both"/>
        <w:rPr>
          <w:rFonts w:ascii="Palatino Linotype" w:eastAsia="Calibri" w:hAnsi="Palatino Linotype" w:cs="Tahoma"/>
          <w:bCs/>
          <w:i/>
          <w:lang w:val="es-ES"/>
        </w:rPr>
      </w:pPr>
    </w:p>
    <w:p w:rsidR="00206003" w:rsidRPr="00FA284C" w:rsidRDefault="00206003" w:rsidP="00206003">
      <w:pPr>
        <w:shd w:val="clear" w:color="auto" w:fill="FFFFFF"/>
        <w:spacing w:after="0" w:line="240" w:lineRule="auto"/>
        <w:ind w:left="851" w:right="851"/>
        <w:jc w:val="both"/>
        <w:rPr>
          <w:rFonts w:ascii="Palatino Linotype" w:eastAsia="Calibri" w:hAnsi="Palatino Linotype" w:cs="Tahoma"/>
          <w:b/>
          <w:bCs/>
          <w:i/>
          <w:lang w:val="es-ES"/>
        </w:rPr>
      </w:pPr>
      <w:r w:rsidRPr="00FA284C">
        <w:rPr>
          <w:rFonts w:ascii="Palatino Linotype" w:eastAsia="Calibri" w:hAnsi="Palatino Linotype" w:cs="Tahoma"/>
          <w:b/>
          <w:bCs/>
          <w:i/>
          <w:lang w:val="es-ES"/>
        </w:rPr>
        <w:t>III. La información faltante del 5 de septiembre al 31 de diciembre de 2017, de:</w:t>
      </w:r>
    </w:p>
    <w:p w:rsidR="00206003" w:rsidRPr="00FA284C" w:rsidRDefault="00206003" w:rsidP="00206003">
      <w:pPr>
        <w:shd w:val="clear" w:color="auto" w:fill="FFFFFF"/>
        <w:spacing w:after="0" w:line="240" w:lineRule="auto"/>
        <w:ind w:left="851" w:right="851"/>
        <w:jc w:val="both"/>
        <w:rPr>
          <w:rFonts w:ascii="Palatino Linotype" w:eastAsia="Calibri" w:hAnsi="Palatino Linotype" w:cs="Tahoma"/>
          <w:bCs/>
          <w:i/>
          <w:lang w:val="es-ES"/>
        </w:rPr>
      </w:pPr>
    </w:p>
    <w:p w:rsidR="00206003" w:rsidRPr="00FA284C" w:rsidRDefault="00206003" w:rsidP="00206003">
      <w:pPr>
        <w:shd w:val="clear" w:color="auto" w:fill="FFFFFF"/>
        <w:spacing w:after="0" w:line="240" w:lineRule="auto"/>
        <w:ind w:left="851" w:right="851"/>
        <w:jc w:val="both"/>
        <w:rPr>
          <w:rFonts w:ascii="Palatino Linotype" w:eastAsia="Calibri" w:hAnsi="Palatino Linotype" w:cs="Tahoma"/>
          <w:bCs/>
          <w:i/>
          <w:lang w:val="es-ES"/>
        </w:rPr>
      </w:pPr>
      <w:r w:rsidRPr="00FA284C">
        <w:rPr>
          <w:rFonts w:ascii="Palatino Linotype" w:eastAsia="Calibri" w:hAnsi="Palatino Linotype" w:cs="Tahoma"/>
          <w:bCs/>
          <w:i/>
          <w:lang w:val="es-ES"/>
        </w:rPr>
        <w:t xml:space="preserve">d) El número total de las plazas y del personal de base y de confianza, especificando el total de las vacantes, por nivel de puesto, para cada unidad administrativa; </w:t>
      </w:r>
    </w:p>
    <w:p w:rsidR="00206003" w:rsidRPr="00FA284C" w:rsidRDefault="00206003" w:rsidP="00206003">
      <w:pPr>
        <w:shd w:val="clear" w:color="auto" w:fill="FFFFFF"/>
        <w:spacing w:after="0" w:line="240" w:lineRule="auto"/>
        <w:ind w:left="851" w:right="851"/>
        <w:jc w:val="both"/>
        <w:rPr>
          <w:rFonts w:ascii="Palatino Linotype" w:eastAsia="Calibri" w:hAnsi="Palatino Linotype" w:cs="Tahoma"/>
          <w:bCs/>
          <w:i/>
          <w:lang w:val="es-ES"/>
        </w:rPr>
      </w:pPr>
    </w:p>
    <w:p w:rsidR="00206003" w:rsidRPr="00FA284C" w:rsidRDefault="00206003" w:rsidP="00206003">
      <w:pPr>
        <w:shd w:val="clear" w:color="auto" w:fill="FFFFFF"/>
        <w:spacing w:after="0" w:line="240" w:lineRule="auto"/>
        <w:ind w:left="851" w:right="851"/>
        <w:jc w:val="both"/>
        <w:rPr>
          <w:rFonts w:ascii="Palatino Linotype" w:eastAsia="Calibri" w:hAnsi="Palatino Linotype" w:cs="Tahoma"/>
          <w:bCs/>
          <w:i/>
          <w:lang w:val="es-ES"/>
        </w:rPr>
      </w:pPr>
      <w:r w:rsidRPr="00FA284C">
        <w:rPr>
          <w:rFonts w:ascii="Palatino Linotype" w:eastAsia="Calibri" w:hAnsi="Palatino Linotype" w:cs="Tahoma"/>
          <w:bCs/>
          <w:i/>
          <w:lang w:val="es-ES"/>
        </w:rPr>
        <w:t>e) Información Financiera de la Cuenta Pública</w:t>
      </w:r>
    </w:p>
    <w:p w:rsidR="00206003" w:rsidRPr="00FA284C" w:rsidRDefault="00206003" w:rsidP="00206003">
      <w:pPr>
        <w:shd w:val="clear" w:color="auto" w:fill="FFFFFF"/>
        <w:spacing w:after="0" w:line="240" w:lineRule="auto"/>
        <w:ind w:left="851" w:right="851"/>
        <w:jc w:val="both"/>
        <w:rPr>
          <w:rFonts w:ascii="Palatino Linotype" w:eastAsia="Calibri" w:hAnsi="Palatino Linotype" w:cs="Tahoma"/>
          <w:bCs/>
          <w:i/>
          <w:lang w:val="es-ES"/>
        </w:rPr>
      </w:pPr>
      <w:r w:rsidRPr="00FA284C">
        <w:rPr>
          <w:rFonts w:ascii="Palatino Linotype" w:eastAsia="Calibri" w:hAnsi="Palatino Linotype" w:cs="Tahoma"/>
          <w:bCs/>
          <w:i/>
          <w:lang w:val="es-ES"/>
        </w:rPr>
        <w:t>f) El inventario de bienes muebles e inmuebles en posesión y propiedad actualizado en términos de la normatividad aplicable;</w:t>
      </w:r>
    </w:p>
    <w:p w:rsidR="00206003" w:rsidRPr="00FA284C" w:rsidRDefault="00206003" w:rsidP="00206003">
      <w:pPr>
        <w:shd w:val="clear" w:color="auto" w:fill="FFFFFF"/>
        <w:spacing w:after="0" w:line="240" w:lineRule="auto"/>
        <w:ind w:left="851" w:right="851"/>
        <w:jc w:val="both"/>
        <w:rPr>
          <w:rFonts w:ascii="Palatino Linotype" w:eastAsia="Calibri" w:hAnsi="Palatino Linotype" w:cs="Tahoma"/>
          <w:bCs/>
          <w:i/>
          <w:lang w:val="es-ES"/>
        </w:rPr>
      </w:pPr>
      <w:r w:rsidRPr="00FA284C">
        <w:rPr>
          <w:rFonts w:ascii="Palatino Linotype" w:eastAsia="Calibri" w:hAnsi="Palatino Linotype" w:cs="Tahoma"/>
          <w:bCs/>
          <w:i/>
          <w:lang w:val="es-ES"/>
        </w:rPr>
        <w:t>g) Los ingresos recibidos por cualquier concepto señalando el nombre de los responsables de recibirlos, administrarlos y ejercerlos, indicando el destino de cada uno de ellos;</w:t>
      </w:r>
    </w:p>
    <w:p w:rsidR="00206003" w:rsidRPr="00FA284C" w:rsidRDefault="00206003" w:rsidP="00206003">
      <w:pPr>
        <w:shd w:val="clear" w:color="auto" w:fill="FFFFFF"/>
        <w:spacing w:after="0" w:line="240" w:lineRule="auto"/>
        <w:ind w:left="851" w:right="851"/>
        <w:jc w:val="both"/>
        <w:rPr>
          <w:rFonts w:ascii="Palatino Linotype" w:eastAsia="Calibri" w:hAnsi="Palatino Linotype" w:cs="Tahoma"/>
          <w:bCs/>
          <w:i/>
          <w:lang w:val="es-ES"/>
        </w:rPr>
      </w:pPr>
      <w:r w:rsidRPr="00FA284C">
        <w:rPr>
          <w:rFonts w:ascii="Palatino Linotype" w:eastAsia="Calibri" w:hAnsi="Palatino Linotype" w:cs="Tahoma"/>
          <w:bCs/>
          <w:i/>
          <w:lang w:val="es-ES"/>
        </w:rPr>
        <w:t>h) El nombre, denominación o razón social y clave del registro federal de los contribuyentes a los que se les hubiera cancelado o condonado algún crédito fiscal local o municipal, así como los montos respectivos. Asimismo, la información estadística sobre las exenciones previstas en las disposiciones fiscales;</w:t>
      </w:r>
    </w:p>
    <w:p w:rsidR="00206003" w:rsidRPr="00FA284C" w:rsidRDefault="00206003" w:rsidP="00206003">
      <w:pPr>
        <w:shd w:val="clear" w:color="auto" w:fill="FFFFFF"/>
        <w:spacing w:after="0" w:line="240" w:lineRule="auto"/>
        <w:ind w:left="851" w:right="851"/>
        <w:jc w:val="both"/>
        <w:rPr>
          <w:rFonts w:ascii="Palatino Linotype" w:eastAsia="Calibri" w:hAnsi="Palatino Linotype" w:cs="Tahoma"/>
          <w:bCs/>
          <w:i/>
          <w:lang w:val="es-ES"/>
        </w:rPr>
      </w:pPr>
      <w:r w:rsidRPr="00FA284C">
        <w:rPr>
          <w:rFonts w:ascii="Palatino Linotype" w:eastAsia="Calibri" w:hAnsi="Palatino Linotype" w:cs="Tahoma"/>
          <w:bCs/>
          <w:i/>
          <w:lang w:val="es-ES"/>
        </w:rPr>
        <w:t>i) La información detallada que contengan los planes de desarrollo urbano vigente, ordenamiento territorial y ecológico, los tipos y usos de suelo, licencias de uso y construcción otorgadas por los gobiernos municipales.</w:t>
      </w:r>
    </w:p>
    <w:p w:rsidR="00206003" w:rsidRPr="00FA284C" w:rsidRDefault="00206003" w:rsidP="00206003">
      <w:pPr>
        <w:shd w:val="clear" w:color="auto" w:fill="FFFFFF"/>
        <w:spacing w:after="0" w:line="240" w:lineRule="auto"/>
        <w:ind w:left="851" w:right="851"/>
        <w:jc w:val="both"/>
        <w:rPr>
          <w:rFonts w:ascii="Palatino Linotype" w:eastAsia="Calibri" w:hAnsi="Palatino Linotype" w:cs="Tahoma"/>
          <w:bCs/>
          <w:i/>
          <w:lang w:val="es-ES"/>
        </w:rPr>
      </w:pPr>
    </w:p>
    <w:p w:rsidR="00206003" w:rsidRPr="00FA284C" w:rsidRDefault="00206003" w:rsidP="00206003">
      <w:pPr>
        <w:shd w:val="clear" w:color="auto" w:fill="FFFFFF"/>
        <w:spacing w:after="0" w:line="240" w:lineRule="auto"/>
        <w:ind w:left="851" w:right="851"/>
        <w:jc w:val="both"/>
        <w:rPr>
          <w:rFonts w:ascii="Palatino Linotype" w:eastAsia="Calibri" w:hAnsi="Palatino Linotype" w:cs="Tahoma"/>
          <w:b/>
          <w:bCs/>
          <w:i/>
          <w:lang w:val="es-ES"/>
        </w:rPr>
      </w:pPr>
      <w:r w:rsidRPr="00FA284C">
        <w:rPr>
          <w:rFonts w:ascii="Palatino Linotype" w:eastAsia="Calibri" w:hAnsi="Palatino Linotype" w:cs="Tahoma"/>
          <w:b/>
          <w:bCs/>
          <w:i/>
          <w:lang w:val="es-ES"/>
        </w:rPr>
        <w:t>IV. La información faltante del periodo comprendido del 1 de enero al 5 de septiembre de 2018, de:</w:t>
      </w:r>
    </w:p>
    <w:p w:rsidR="00206003" w:rsidRPr="00FA284C" w:rsidRDefault="00206003" w:rsidP="00206003">
      <w:pPr>
        <w:shd w:val="clear" w:color="auto" w:fill="FFFFFF"/>
        <w:spacing w:after="0" w:line="240" w:lineRule="auto"/>
        <w:ind w:left="851" w:right="851"/>
        <w:jc w:val="both"/>
        <w:rPr>
          <w:rFonts w:ascii="Palatino Linotype" w:eastAsia="Calibri" w:hAnsi="Palatino Linotype" w:cs="Tahoma"/>
          <w:bCs/>
          <w:i/>
          <w:lang w:val="es-ES"/>
        </w:rPr>
      </w:pPr>
    </w:p>
    <w:p w:rsidR="00206003" w:rsidRPr="00FA284C" w:rsidRDefault="00206003" w:rsidP="00206003">
      <w:pPr>
        <w:shd w:val="clear" w:color="auto" w:fill="FFFFFF"/>
        <w:spacing w:after="0" w:line="240" w:lineRule="auto"/>
        <w:ind w:left="851" w:right="851"/>
        <w:jc w:val="both"/>
        <w:rPr>
          <w:rFonts w:ascii="Palatino Linotype" w:eastAsia="Calibri" w:hAnsi="Palatino Linotype" w:cs="Tahoma"/>
          <w:bCs/>
          <w:i/>
          <w:lang w:val="es-ES"/>
        </w:rPr>
      </w:pPr>
      <w:r w:rsidRPr="00FA284C">
        <w:rPr>
          <w:rFonts w:ascii="Palatino Linotype" w:eastAsia="Calibri" w:hAnsi="Palatino Linotype" w:cs="Tahoma"/>
          <w:bCs/>
          <w:i/>
          <w:lang w:val="es-ES"/>
        </w:rPr>
        <w:t>j) La información relativa a la deuda pública, en términos de las disposiciones jurídicas aplicables;</w:t>
      </w:r>
    </w:p>
    <w:p w:rsidR="00206003" w:rsidRPr="00FA284C" w:rsidRDefault="00206003" w:rsidP="00206003">
      <w:pPr>
        <w:shd w:val="clear" w:color="auto" w:fill="FFFFFF"/>
        <w:spacing w:after="0" w:line="240" w:lineRule="auto"/>
        <w:ind w:left="851" w:right="851"/>
        <w:jc w:val="both"/>
        <w:rPr>
          <w:rFonts w:ascii="Palatino Linotype" w:eastAsia="Calibri" w:hAnsi="Palatino Linotype" w:cs="Tahoma"/>
          <w:bCs/>
          <w:i/>
          <w:lang w:val="es-ES"/>
        </w:rPr>
      </w:pPr>
      <w:r w:rsidRPr="00FA284C">
        <w:rPr>
          <w:rFonts w:ascii="Palatino Linotype" w:eastAsia="Calibri" w:hAnsi="Palatino Linotype" w:cs="Tahoma"/>
          <w:bCs/>
          <w:i/>
          <w:lang w:val="es-ES"/>
        </w:rPr>
        <w:t>k) El inventario de bienes muebles e inmuebles en posesión y propiedad actualizado en términos de la normatividad aplicable;</w:t>
      </w:r>
    </w:p>
    <w:p w:rsidR="00206003" w:rsidRPr="00FA284C" w:rsidRDefault="00206003" w:rsidP="00206003">
      <w:pPr>
        <w:shd w:val="clear" w:color="auto" w:fill="FFFFFF"/>
        <w:spacing w:after="0" w:line="240" w:lineRule="auto"/>
        <w:ind w:left="851" w:right="851"/>
        <w:jc w:val="both"/>
        <w:rPr>
          <w:rFonts w:ascii="Palatino Linotype" w:eastAsia="Calibri" w:hAnsi="Palatino Linotype" w:cs="Tahoma"/>
          <w:bCs/>
          <w:i/>
          <w:lang w:val="es-ES"/>
        </w:rPr>
      </w:pPr>
      <w:r w:rsidRPr="00FA284C">
        <w:rPr>
          <w:rFonts w:ascii="Palatino Linotype" w:eastAsia="Calibri" w:hAnsi="Palatino Linotype" w:cs="Tahoma"/>
          <w:bCs/>
          <w:i/>
          <w:lang w:val="es-ES"/>
        </w:rPr>
        <w:t>l) Los ingresos recibidos por cualquier concepto señalando el nombre de los responsables de recibirlos, administrarlos y ejercerlos, indicando el destino de cada uno de ellos;</w:t>
      </w:r>
    </w:p>
    <w:p w:rsidR="00206003" w:rsidRPr="00FA284C" w:rsidRDefault="00206003" w:rsidP="00206003">
      <w:pPr>
        <w:shd w:val="clear" w:color="auto" w:fill="FFFFFF"/>
        <w:spacing w:after="0" w:line="240" w:lineRule="auto"/>
        <w:ind w:left="851" w:right="851"/>
        <w:jc w:val="both"/>
        <w:rPr>
          <w:rFonts w:ascii="Palatino Linotype" w:eastAsia="Calibri" w:hAnsi="Palatino Linotype" w:cs="Tahoma"/>
          <w:bCs/>
          <w:i/>
          <w:lang w:val="es-ES"/>
        </w:rPr>
      </w:pPr>
      <w:r w:rsidRPr="00FA284C">
        <w:rPr>
          <w:rFonts w:ascii="Palatino Linotype" w:eastAsia="Calibri" w:hAnsi="Palatino Linotype" w:cs="Tahoma"/>
          <w:bCs/>
          <w:i/>
          <w:lang w:val="es-ES"/>
        </w:rPr>
        <w:t>m) El presupuesto de egresos y las fórmulas de distribución de los recursos otorgados;</w:t>
      </w:r>
    </w:p>
    <w:p w:rsidR="00206003" w:rsidRPr="00FA284C" w:rsidRDefault="00206003" w:rsidP="00206003">
      <w:pPr>
        <w:shd w:val="clear" w:color="auto" w:fill="FFFFFF"/>
        <w:spacing w:after="0" w:line="240" w:lineRule="auto"/>
        <w:ind w:left="851" w:right="851"/>
        <w:jc w:val="both"/>
        <w:rPr>
          <w:rFonts w:ascii="Palatino Linotype" w:eastAsia="Calibri" w:hAnsi="Palatino Linotype" w:cs="Tahoma"/>
          <w:bCs/>
          <w:i/>
          <w:lang w:val="es-ES"/>
        </w:rPr>
      </w:pPr>
      <w:r w:rsidRPr="00FA284C">
        <w:rPr>
          <w:rFonts w:ascii="Palatino Linotype" w:eastAsia="Calibri" w:hAnsi="Palatino Linotype" w:cs="Tahoma"/>
          <w:bCs/>
          <w:i/>
          <w:lang w:val="es-ES"/>
        </w:rPr>
        <w:t>n) La información detallada que contengan los planes de desarrollo urbano vigente, ordenamiento territorial y ecológico, los tipos y usos de suelo, licencias de uso y construcción otorgadas por los gobiernos municipales.</w:t>
      </w:r>
    </w:p>
    <w:p w:rsidR="00206003" w:rsidRPr="00FA284C" w:rsidRDefault="00206003" w:rsidP="00206003">
      <w:pPr>
        <w:shd w:val="clear" w:color="auto" w:fill="FFFFFF"/>
        <w:spacing w:after="0" w:line="240" w:lineRule="auto"/>
        <w:ind w:left="851" w:right="851"/>
        <w:jc w:val="both"/>
        <w:rPr>
          <w:rFonts w:ascii="Palatino Linotype" w:eastAsia="Calibri" w:hAnsi="Palatino Linotype" w:cs="Tahoma"/>
          <w:bCs/>
          <w:i/>
          <w:lang w:val="es-ES"/>
        </w:rPr>
      </w:pPr>
    </w:p>
    <w:p w:rsidR="00206003" w:rsidRPr="00FA284C" w:rsidRDefault="00206003" w:rsidP="00206003">
      <w:pPr>
        <w:shd w:val="clear" w:color="auto" w:fill="FFFFFF"/>
        <w:spacing w:after="0" w:line="240" w:lineRule="auto"/>
        <w:ind w:left="851" w:right="851"/>
        <w:jc w:val="both"/>
        <w:rPr>
          <w:rFonts w:ascii="Palatino Linotype" w:eastAsia="Calibri" w:hAnsi="Palatino Linotype" w:cs="Tahoma"/>
          <w:b/>
          <w:bCs/>
          <w:i/>
          <w:lang w:val="es-ES"/>
        </w:rPr>
      </w:pPr>
      <w:r w:rsidRPr="00FA284C">
        <w:rPr>
          <w:rFonts w:ascii="Palatino Linotype" w:eastAsia="Calibri" w:hAnsi="Palatino Linotype" w:cs="Tahoma"/>
          <w:b/>
          <w:bCs/>
          <w:i/>
          <w:lang w:val="es-ES"/>
        </w:rPr>
        <w:t>V. Del periodo comprendido del 11 de septiembre de 2017 al 11 de septiembre de 2018:</w:t>
      </w:r>
    </w:p>
    <w:p w:rsidR="00206003" w:rsidRPr="00FA284C" w:rsidRDefault="00206003" w:rsidP="00206003">
      <w:pPr>
        <w:shd w:val="clear" w:color="auto" w:fill="FFFFFF"/>
        <w:spacing w:after="0" w:line="240" w:lineRule="auto"/>
        <w:ind w:left="851" w:right="851"/>
        <w:jc w:val="both"/>
        <w:rPr>
          <w:rFonts w:ascii="Palatino Linotype" w:eastAsia="Calibri" w:hAnsi="Palatino Linotype" w:cs="Tahoma"/>
          <w:bCs/>
          <w:i/>
          <w:lang w:val="es-ES"/>
        </w:rPr>
      </w:pPr>
    </w:p>
    <w:p w:rsidR="00206003" w:rsidRPr="00FA284C" w:rsidRDefault="00206003" w:rsidP="00206003">
      <w:pPr>
        <w:shd w:val="clear" w:color="auto" w:fill="FFFFFF"/>
        <w:spacing w:after="0" w:line="240" w:lineRule="auto"/>
        <w:ind w:left="851" w:right="851"/>
        <w:jc w:val="both"/>
        <w:rPr>
          <w:rFonts w:ascii="Palatino Linotype" w:eastAsia="Calibri" w:hAnsi="Palatino Linotype" w:cs="Tahoma"/>
          <w:bCs/>
          <w:i/>
          <w:lang w:val="es-ES"/>
        </w:rPr>
      </w:pPr>
      <w:r w:rsidRPr="00FA284C">
        <w:rPr>
          <w:rFonts w:ascii="Palatino Linotype" w:eastAsia="Calibri" w:hAnsi="Palatino Linotype" w:cs="Tahoma"/>
          <w:bCs/>
          <w:i/>
          <w:lang w:val="es-ES"/>
        </w:rPr>
        <w:t>ñ)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rsidR="00206003" w:rsidRPr="00FA284C" w:rsidRDefault="00206003" w:rsidP="00206003">
      <w:pPr>
        <w:shd w:val="clear" w:color="auto" w:fill="FFFFFF"/>
        <w:spacing w:after="0" w:line="240" w:lineRule="auto"/>
        <w:ind w:left="851" w:right="851"/>
        <w:jc w:val="both"/>
        <w:rPr>
          <w:rFonts w:ascii="Palatino Linotype" w:eastAsia="Calibri" w:hAnsi="Palatino Linotype" w:cs="Tahoma"/>
          <w:b/>
          <w:bCs/>
          <w:i/>
          <w:lang w:val="es-ES"/>
        </w:rPr>
      </w:pPr>
    </w:p>
    <w:p w:rsidR="00206003" w:rsidRPr="00FA284C" w:rsidRDefault="00206003" w:rsidP="00206003">
      <w:pPr>
        <w:shd w:val="clear" w:color="auto" w:fill="FFFFFF"/>
        <w:spacing w:after="0" w:line="240" w:lineRule="auto"/>
        <w:ind w:left="851" w:right="851"/>
        <w:jc w:val="both"/>
        <w:rPr>
          <w:rFonts w:ascii="Palatino Linotype" w:eastAsia="Calibri" w:hAnsi="Palatino Linotype" w:cs="Tahoma"/>
          <w:b/>
          <w:bCs/>
          <w:i/>
          <w:lang w:val="es-ES"/>
        </w:rPr>
      </w:pPr>
      <w:r w:rsidRPr="00FA284C">
        <w:rPr>
          <w:rFonts w:ascii="Palatino Linotype" w:eastAsia="Calibri" w:hAnsi="Palatino Linotype" w:cs="Tahoma"/>
          <w:b/>
          <w:bCs/>
          <w:i/>
          <w:lang w:val="es-ES"/>
        </w:rPr>
        <w:t>VI. La información faltante del 11 de septiembre al 31 de diciembre de 2017 de:</w:t>
      </w:r>
    </w:p>
    <w:p w:rsidR="00206003" w:rsidRPr="00FA284C" w:rsidRDefault="00206003" w:rsidP="00206003">
      <w:pPr>
        <w:shd w:val="clear" w:color="auto" w:fill="FFFFFF"/>
        <w:spacing w:after="0" w:line="240" w:lineRule="auto"/>
        <w:ind w:left="851" w:right="851"/>
        <w:jc w:val="both"/>
        <w:rPr>
          <w:rFonts w:ascii="Palatino Linotype" w:eastAsia="Calibri" w:hAnsi="Palatino Linotype" w:cs="Tahoma"/>
          <w:bCs/>
          <w:i/>
          <w:lang w:val="es-ES"/>
        </w:rPr>
      </w:pPr>
    </w:p>
    <w:p w:rsidR="00206003" w:rsidRPr="00FA284C" w:rsidRDefault="00206003" w:rsidP="00206003">
      <w:pPr>
        <w:shd w:val="clear" w:color="auto" w:fill="FFFFFF"/>
        <w:spacing w:after="0" w:line="240" w:lineRule="auto"/>
        <w:ind w:left="851" w:right="851"/>
        <w:jc w:val="both"/>
        <w:rPr>
          <w:rFonts w:ascii="Palatino Linotype" w:eastAsia="Calibri" w:hAnsi="Palatino Linotype" w:cs="Tahoma"/>
          <w:bCs/>
          <w:i/>
          <w:lang w:val="es-ES"/>
        </w:rPr>
      </w:pPr>
      <w:r w:rsidRPr="00FA284C">
        <w:rPr>
          <w:rFonts w:ascii="Palatino Linotype" w:eastAsia="Calibri" w:hAnsi="Palatino Linotype" w:cs="Tahoma"/>
          <w:bCs/>
          <w:i/>
          <w:lang w:val="es-ES"/>
        </w:rPr>
        <w:t>o) Los convenios de coordinación, de concertación, entre otros, que suscriban con otros entes de los sectores público, social y privado;</w:t>
      </w:r>
    </w:p>
    <w:p w:rsidR="00206003" w:rsidRPr="00FA284C" w:rsidRDefault="00206003" w:rsidP="00206003">
      <w:pPr>
        <w:shd w:val="clear" w:color="auto" w:fill="FFFFFF"/>
        <w:spacing w:after="0" w:line="240" w:lineRule="auto"/>
        <w:ind w:left="851" w:right="851"/>
        <w:jc w:val="both"/>
        <w:rPr>
          <w:rFonts w:ascii="Palatino Linotype" w:eastAsia="Calibri" w:hAnsi="Palatino Linotype" w:cs="Tahoma"/>
          <w:b/>
          <w:bCs/>
          <w:i/>
          <w:lang w:val="es-ES"/>
        </w:rPr>
      </w:pPr>
    </w:p>
    <w:p w:rsidR="00206003" w:rsidRPr="00FA284C" w:rsidRDefault="00206003" w:rsidP="00206003">
      <w:pPr>
        <w:shd w:val="clear" w:color="auto" w:fill="FFFFFF"/>
        <w:spacing w:after="0" w:line="240" w:lineRule="auto"/>
        <w:ind w:left="851" w:right="851"/>
        <w:jc w:val="both"/>
        <w:rPr>
          <w:rFonts w:ascii="Palatino Linotype" w:eastAsia="Calibri" w:hAnsi="Palatino Linotype" w:cs="Tahoma"/>
          <w:b/>
          <w:bCs/>
          <w:i/>
          <w:lang w:val="es-ES"/>
        </w:rPr>
      </w:pPr>
      <w:r w:rsidRPr="00FA284C">
        <w:rPr>
          <w:rFonts w:ascii="Palatino Linotype" w:eastAsia="Calibri" w:hAnsi="Palatino Linotype" w:cs="Tahoma"/>
          <w:b/>
          <w:bCs/>
          <w:i/>
          <w:lang w:val="es-ES"/>
        </w:rPr>
        <w:t>VII. Del periodo comprendido del 1 de enero al 11 de septiembre de 2018:</w:t>
      </w:r>
    </w:p>
    <w:p w:rsidR="00206003" w:rsidRPr="00FA284C" w:rsidRDefault="00206003" w:rsidP="00206003">
      <w:pPr>
        <w:shd w:val="clear" w:color="auto" w:fill="FFFFFF"/>
        <w:spacing w:after="0" w:line="240" w:lineRule="auto"/>
        <w:ind w:left="851" w:right="851"/>
        <w:jc w:val="both"/>
        <w:rPr>
          <w:rFonts w:ascii="Palatino Linotype" w:eastAsia="Calibri" w:hAnsi="Palatino Linotype" w:cs="Tahoma"/>
          <w:bCs/>
          <w:i/>
          <w:lang w:val="es-ES"/>
        </w:rPr>
      </w:pPr>
    </w:p>
    <w:p w:rsidR="00206003" w:rsidRPr="00FA284C" w:rsidRDefault="00206003" w:rsidP="00206003">
      <w:pPr>
        <w:shd w:val="clear" w:color="auto" w:fill="FFFFFF"/>
        <w:spacing w:after="0" w:line="240" w:lineRule="auto"/>
        <w:ind w:left="851" w:right="851"/>
        <w:jc w:val="both"/>
        <w:rPr>
          <w:rFonts w:ascii="Palatino Linotype" w:eastAsia="Calibri" w:hAnsi="Palatino Linotype" w:cs="Tahoma"/>
          <w:bCs/>
          <w:i/>
          <w:lang w:val="es-ES"/>
        </w:rPr>
      </w:pPr>
      <w:r w:rsidRPr="00FA284C">
        <w:rPr>
          <w:rFonts w:ascii="Palatino Linotype" w:eastAsia="Calibri" w:hAnsi="Palatino Linotype" w:cs="Tahoma"/>
          <w:bCs/>
          <w:i/>
          <w:lang w:val="es-ES"/>
        </w:rPr>
        <w:t>p) Los convenios de coordinación, de concertación, entre otros, que suscriban con otros entes de los sectores público, social y privado.</w:t>
      </w:r>
    </w:p>
    <w:p w:rsidR="00206003" w:rsidRPr="00FA284C" w:rsidRDefault="00206003" w:rsidP="00206003">
      <w:pPr>
        <w:shd w:val="clear" w:color="auto" w:fill="FFFFFF"/>
        <w:spacing w:after="0" w:line="240" w:lineRule="auto"/>
        <w:ind w:left="851" w:right="851"/>
        <w:jc w:val="both"/>
        <w:rPr>
          <w:rFonts w:ascii="Palatino Linotype" w:eastAsia="Calibri" w:hAnsi="Palatino Linotype" w:cs="Tahoma"/>
          <w:bCs/>
          <w:i/>
          <w:lang w:val="es-ES"/>
        </w:rPr>
      </w:pPr>
    </w:p>
    <w:p w:rsidR="00206003" w:rsidRDefault="00206003" w:rsidP="00206003">
      <w:pPr>
        <w:shd w:val="clear" w:color="auto" w:fill="FFFFFF"/>
        <w:spacing w:after="0" w:line="240" w:lineRule="auto"/>
        <w:ind w:left="851" w:right="851"/>
        <w:jc w:val="both"/>
        <w:rPr>
          <w:rFonts w:ascii="Palatino Linotype" w:eastAsia="Calibri" w:hAnsi="Palatino Linotype" w:cs="Tahoma"/>
          <w:bCs/>
          <w:i/>
          <w:lang w:val="es-ES"/>
        </w:rPr>
      </w:pPr>
      <w:r w:rsidRPr="00FA284C">
        <w:rPr>
          <w:rFonts w:ascii="Palatino Linotype" w:eastAsia="Calibri" w:hAnsi="Palatino Linotype" w:cs="Tahoma"/>
          <w:bCs/>
          <w:i/>
          <w:lang w:val="es-ES"/>
        </w:rPr>
        <w:lastRenderedPageBreak/>
        <w:t>A efecto de dar cumplimiento a lo anterior, deberá indicar a través del correo electrónico referido por el particular el lugar, día y hora así como el nombre del personal que le permita el acceso a la información. Asimismo, notificar al</w:t>
      </w:r>
      <w:r w:rsidRPr="00FA284C">
        <w:rPr>
          <w:rFonts w:ascii="Palatino Linotype" w:eastAsia="Calibri" w:hAnsi="Palatino Linotype" w:cs="Tahoma"/>
          <w:b/>
          <w:bCs/>
          <w:i/>
          <w:lang w:val="es-ES"/>
        </w:rPr>
        <w:t xml:space="preserve"> RECURRENTE</w:t>
      </w:r>
      <w:r w:rsidRPr="00FA284C">
        <w:rPr>
          <w:rFonts w:ascii="Palatino Linotype" w:eastAsia="Calibri" w:hAnsi="Palatino Linotype" w:cs="Tahoma"/>
          <w:bCs/>
          <w:i/>
          <w:lang w:val="es-ES"/>
        </w:rPr>
        <w:t xml:space="preserve"> el Acuerdo de Clasificación de la información, que apruebe el Comité de Transparencia con motivo de la versión pública.</w:t>
      </w:r>
    </w:p>
    <w:p w:rsidR="00206003" w:rsidRPr="00404B2C" w:rsidRDefault="00206003" w:rsidP="00206003">
      <w:pPr>
        <w:shd w:val="clear" w:color="auto" w:fill="FFFFFF"/>
        <w:spacing w:after="0" w:line="240" w:lineRule="auto"/>
        <w:ind w:left="851" w:right="851"/>
        <w:jc w:val="both"/>
        <w:rPr>
          <w:rFonts w:ascii="Palatino Linotype" w:eastAsia="Calibri" w:hAnsi="Palatino Linotype" w:cs="Tahoma"/>
          <w:bCs/>
          <w:i/>
          <w:lang w:val="es-ES"/>
        </w:rPr>
      </w:pPr>
      <w:r>
        <w:rPr>
          <w:rFonts w:ascii="Palatino Linotype" w:eastAsia="Calibri" w:hAnsi="Palatino Linotype" w:cs="Tahoma"/>
          <w:bCs/>
          <w:i/>
          <w:lang w:val="es-ES"/>
        </w:rPr>
        <w:t>…”</w:t>
      </w:r>
    </w:p>
    <w:p w:rsidR="00206003" w:rsidRPr="0012248A" w:rsidRDefault="00206003" w:rsidP="00206003">
      <w:pPr>
        <w:spacing w:after="0" w:line="240" w:lineRule="auto"/>
        <w:jc w:val="both"/>
        <w:rPr>
          <w:rFonts w:ascii="Palatino Linotype" w:eastAsia="Times New Roman" w:hAnsi="Palatino Linotype" w:cs="Tahoma"/>
          <w:sz w:val="16"/>
          <w:szCs w:val="16"/>
          <w:lang w:eastAsia="es-ES"/>
        </w:rPr>
      </w:pPr>
    </w:p>
    <w:p w:rsidR="00206003" w:rsidRPr="0077579A" w:rsidRDefault="00206003" w:rsidP="00206003">
      <w:pPr>
        <w:spacing w:before="240" w:after="240" w:line="360" w:lineRule="auto"/>
        <w:jc w:val="both"/>
        <w:rPr>
          <w:rFonts w:ascii="Palatino Linotype" w:eastAsia="Times New Roman" w:hAnsi="Palatino Linotype" w:cs="Tahoma"/>
          <w:sz w:val="23"/>
          <w:szCs w:val="23"/>
          <w:lang w:eastAsia="es-ES"/>
        </w:rPr>
      </w:pPr>
      <w:r w:rsidRPr="0077579A">
        <w:rPr>
          <w:rFonts w:ascii="Palatino Linotype" w:eastAsia="Times New Roman" w:hAnsi="Palatino Linotype" w:cs="Tahoma"/>
          <w:sz w:val="23"/>
          <w:szCs w:val="23"/>
          <w:lang w:eastAsia="es-ES"/>
        </w:rPr>
        <w:t xml:space="preserve">No obstante lo anterior, la Ponencia </w:t>
      </w:r>
      <w:proofErr w:type="spellStart"/>
      <w:r w:rsidRPr="0077579A">
        <w:rPr>
          <w:rFonts w:ascii="Palatino Linotype" w:eastAsia="Times New Roman" w:hAnsi="Palatino Linotype" w:cs="Tahoma"/>
          <w:sz w:val="23"/>
          <w:szCs w:val="23"/>
          <w:lang w:eastAsia="es-ES"/>
        </w:rPr>
        <w:t>resolutora</w:t>
      </w:r>
      <w:proofErr w:type="spellEnd"/>
      <w:r w:rsidRPr="0077579A">
        <w:rPr>
          <w:rFonts w:ascii="Palatino Linotype" w:eastAsia="Times New Roman" w:hAnsi="Palatino Linotype" w:cs="Tahoma"/>
          <w:sz w:val="23"/>
          <w:szCs w:val="23"/>
          <w:lang w:eastAsia="es-ES"/>
        </w:rPr>
        <w:t xml:space="preserve"> determinó la entrega de la información en </w:t>
      </w:r>
      <w:r w:rsidRPr="0077579A">
        <w:rPr>
          <w:rFonts w:ascii="Palatino Linotype" w:eastAsia="Times New Roman" w:hAnsi="Palatino Linotype" w:cs="Tahoma"/>
          <w:b/>
          <w:i/>
          <w:sz w:val="23"/>
          <w:szCs w:val="23"/>
          <w:lang w:eastAsia="es-ES"/>
        </w:rPr>
        <w:t>“consulta directa”</w:t>
      </w:r>
      <w:r w:rsidRPr="0077579A">
        <w:rPr>
          <w:rFonts w:ascii="Palatino Linotype" w:eastAsia="Times New Roman" w:hAnsi="Palatino Linotype" w:cs="Tahoma"/>
          <w:sz w:val="23"/>
          <w:szCs w:val="23"/>
          <w:lang w:eastAsia="es-ES"/>
        </w:rPr>
        <w:t xml:space="preserve">, es decir, resolvió el cambio de modalidad de entrega de información solicitada por el particular, quien la requirió a través de su correo electrónico personal. </w:t>
      </w:r>
    </w:p>
    <w:p w:rsidR="00206003" w:rsidRPr="0077579A" w:rsidRDefault="00206003" w:rsidP="00206003">
      <w:pPr>
        <w:spacing w:before="240" w:after="240" w:line="360" w:lineRule="auto"/>
        <w:jc w:val="both"/>
        <w:rPr>
          <w:rFonts w:ascii="Palatino Linotype" w:eastAsia="Times New Roman" w:hAnsi="Palatino Linotype" w:cs="Tahoma"/>
          <w:sz w:val="23"/>
          <w:szCs w:val="23"/>
          <w:lang w:eastAsia="es-ES"/>
        </w:rPr>
      </w:pPr>
      <w:r w:rsidRPr="0077579A">
        <w:rPr>
          <w:rFonts w:ascii="Palatino Linotype" w:eastAsia="Times New Roman" w:hAnsi="Palatino Linotype" w:cs="Tahoma"/>
          <w:sz w:val="23"/>
          <w:szCs w:val="23"/>
          <w:lang w:eastAsia="es-ES"/>
        </w:rPr>
        <w:t>En ese tenor, se debió atender lo dispuesto en el artículo 164 de nuestra Ley de Transparencia y Acceso a la Información Pública, el cual dispone que el acceso se dará en la modalidad de entrega y, en su caso, de envío elegidos por el solicitante, sin embargo, cuando la información no pueda entregarse o enviarse en la modalidad solicitada, el Sujeto Obligado deberá ofrecer otra u otras modalidades de entrega, de manera motivada y fundada.</w:t>
      </w:r>
    </w:p>
    <w:p w:rsidR="00206003" w:rsidRPr="0077579A" w:rsidRDefault="00206003" w:rsidP="00206003">
      <w:pPr>
        <w:spacing w:before="240" w:after="240" w:line="360" w:lineRule="auto"/>
        <w:jc w:val="both"/>
        <w:rPr>
          <w:rFonts w:ascii="Palatino Linotype" w:eastAsia="Times New Roman" w:hAnsi="Palatino Linotype" w:cs="Tahoma"/>
          <w:sz w:val="23"/>
          <w:szCs w:val="23"/>
          <w:lang w:eastAsia="es-ES"/>
        </w:rPr>
      </w:pPr>
      <w:r w:rsidRPr="0077579A">
        <w:rPr>
          <w:rFonts w:ascii="Palatino Linotype" w:eastAsia="Times New Roman" w:hAnsi="Palatino Linotype" w:cs="Tahoma"/>
          <w:sz w:val="23"/>
          <w:szCs w:val="23"/>
          <w:lang w:eastAsia="es-ES"/>
        </w:rPr>
        <w:t xml:space="preserve">Discernimiento que encuentra apoyo en lo dispuesto en el Criterio 08/17, emitido por el INAI, cuyo rubro y texto disponen: </w:t>
      </w:r>
    </w:p>
    <w:p w:rsidR="00206003" w:rsidRDefault="00206003" w:rsidP="00206003">
      <w:pPr>
        <w:spacing w:after="0" w:line="240" w:lineRule="auto"/>
        <w:ind w:left="851" w:right="851"/>
        <w:jc w:val="both"/>
        <w:rPr>
          <w:rFonts w:ascii="Palatino Linotype" w:hAnsi="Palatino Linotype"/>
          <w:i/>
        </w:rPr>
      </w:pPr>
      <w:r>
        <w:rPr>
          <w:rFonts w:ascii="Palatino Linotype" w:hAnsi="Palatino Linotype"/>
          <w:i/>
        </w:rPr>
        <w:t>“</w:t>
      </w:r>
      <w:r w:rsidRPr="009646BA">
        <w:rPr>
          <w:rFonts w:ascii="Palatino Linotype" w:hAnsi="Palatino Linotype"/>
          <w:b/>
          <w:i/>
        </w:rPr>
        <w:t>Modalidad de entrega. Procedencia de proporcionar la información solicitada en una diversa a la elegida por el solicitante.</w:t>
      </w:r>
      <w:r w:rsidRPr="009646BA">
        <w:rPr>
          <w:rFonts w:ascii="Palatino Linotype" w:hAnsi="Palatino Linotype"/>
          <w:i/>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w:t>
      </w:r>
      <w:r w:rsidRPr="009646BA">
        <w:rPr>
          <w:rFonts w:ascii="Palatino Linotype" w:hAnsi="Palatino Linotype"/>
          <w:i/>
        </w:rPr>
        <w:lastRenderedPageBreak/>
        <w:t xml:space="preserve">obligado: a) justifique el impedimento para atender la misma y b) se notifique al particular la disposición de la información en todas las modalidades que permita el documento de que se trate, procurando reducir, en todo momento, los costos de entrega. </w:t>
      </w:r>
    </w:p>
    <w:p w:rsidR="00206003" w:rsidRDefault="00206003" w:rsidP="00206003">
      <w:pPr>
        <w:spacing w:after="0" w:line="240" w:lineRule="auto"/>
        <w:ind w:left="851" w:right="851"/>
        <w:jc w:val="both"/>
        <w:rPr>
          <w:rFonts w:ascii="Palatino Linotype" w:hAnsi="Palatino Linotype"/>
          <w:i/>
        </w:rPr>
      </w:pPr>
    </w:p>
    <w:p w:rsidR="00206003" w:rsidRPr="00A418D2" w:rsidRDefault="00206003" w:rsidP="00206003">
      <w:pPr>
        <w:spacing w:after="0" w:line="240" w:lineRule="auto"/>
        <w:ind w:left="851" w:right="851"/>
        <w:jc w:val="both"/>
        <w:rPr>
          <w:rFonts w:ascii="Palatino Linotype" w:hAnsi="Palatino Linotype"/>
          <w:b/>
          <w:i/>
        </w:rPr>
      </w:pPr>
      <w:r w:rsidRPr="00A418D2">
        <w:rPr>
          <w:rFonts w:ascii="Palatino Linotype" w:hAnsi="Palatino Linotype"/>
          <w:b/>
          <w:i/>
        </w:rPr>
        <w:t xml:space="preserve">Resoluciones: </w:t>
      </w:r>
    </w:p>
    <w:p w:rsidR="00206003" w:rsidRDefault="00206003" w:rsidP="00206003">
      <w:pPr>
        <w:spacing w:after="0" w:line="240" w:lineRule="auto"/>
        <w:ind w:left="851" w:right="851"/>
        <w:jc w:val="both"/>
        <w:rPr>
          <w:rFonts w:ascii="Palatino Linotype" w:hAnsi="Palatino Linotype"/>
          <w:i/>
        </w:rPr>
      </w:pPr>
      <w:r w:rsidRPr="009646BA">
        <w:rPr>
          <w:rFonts w:ascii="Palatino Linotype" w:hAnsi="Palatino Linotype"/>
          <w:i/>
        </w:rPr>
        <w:sym w:font="Symbol" w:char="F0B7"/>
      </w:r>
      <w:r w:rsidRPr="009646BA">
        <w:rPr>
          <w:rFonts w:ascii="Palatino Linotype" w:hAnsi="Palatino Linotype"/>
          <w:i/>
        </w:rPr>
        <w:t xml:space="preserve"> RRA 0188/16. Secretaría de Desarrollo Agrario, Territorial y Urbano. 17 de agosto de 2016. Por unanimidad. Comisionada Ponente Ximena Puente de la Mora. </w:t>
      </w:r>
    </w:p>
    <w:p w:rsidR="00206003" w:rsidRDefault="00206003" w:rsidP="00206003">
      <w:pPr>
        <w:spacing w:after="0" w:line="240" w:lineRule="auto"/>
        <w:ind w:left="851" w:right="851"/>
        <w:jc w:val="both"/>
        <w:rPr>
          <w:rFonts w:ascii="Palatino Linotype" w:hAnsi="Palatino Linotype"/>
          <w:i/>
        </w:rPr>
      </w:pPr>
      <w:r w:rsidRPr="009646BA">
        <w:rPr>
          <w:rFonts w:ascii="Palatino Linotype" w:hAnsi="Palatino Linotype"/>
          <w:i/>
        </w:rPr>
        <w:sym w:font="Symbol" w:char="F0B7"/>
      </w:r>
      <w:r w:rsidRPr="009646BA">
        <w:rPr>
          <w:rFonts w:ascii="Palatino Linotype" w:hAnsi="Palatino Linotype"/>
          <w:i/>
        </w:rPr>
        <w:t xml:space="preserve"> RRA 4812/16. Secretaría de Educación Pública. 08 de febrero de 2017. Por unanimidad. Comisionado Ponente Oscar Mauricio Guerra Ford. </w:t>
      </w:r>
    </w:p>
    <w:p w:rsidR="00206003" w:rsidRDefault="00206003" w:rsidP="00206003">
      <w:pPr>
        <w:spacing w:after="0" w:line="240" w:lineRule="auto"/>
        <w:ind w:left="851" w:right="851"/>
        <w:jc w:val="both"/>
        <w:rPr>
          <w:rFonts w:ascii="Palatino Linotype" w:eastAsia="Times New Roman" w:hAnsi="Palatino Linotype" w:cs="Tahoma"/>
          <w:i/>
          <w:lang w:eastAsia="es-ES"/>
        </w:rPr>
      </w:pPr>
      <w:r w:rsidRPr="009646BA">
        <w:rPr>
          <w:rFonts w:ascii="Palatino Linotype" w:hAnsi="Palatino Linotype"/>
          <w:i/>
        </w:rPr>
        <w:sym w:font="Symbol" w:char="F0B7"/>
      </w:r>
      <w:r w:rsidRPr="009646BA">
        <w:rPr>
          <w:rFonts w:ascii="Palatino Linotype" w:hAnsi="Palatino Linotype"/>
          <w:i/>
        </w:rPr>
        <w:t xml:space="preserve"> RRA 0359/17. Universidad Nacional Autónoma de México. 01 de marzo de 2017. Por unanimidad. Comisionada Ponente Areli Cano Guadiana.</w:t>
      </w:r>
      <w:r>
        <w:rPr>
          <w:rFonts w:ascii="Palatino Linotype" w:hAnsi="Palatino Linotype"/>
          <w:i/>
        </w:rPr>
        <w:t>”</w:t>
      </w:r>
    </w:p>
    <w:p w:rsidR="00206003" w:rsidRDefault="00206003" w:rsidP="00206003">
      <w:pPr>
        <w:spacing w:after="0" w:line="240" w:lineRule="auto"/>
        <w:ind w:right="618"/>
        <w:jc w:val="both"/>
        <w:rPr>
          <w:rFonts w:ascii="Palatino Linotype" w:hAnsi="Palatino Linotype"/>
          <w:i/>
        </w:rPr>
      </w:pPr>
    </w:p>
    <w:p w:rsidR="00206003" w:rsidRPr="0077579A" w:rsidRDefault="00206003" w:rsidP="00206003">
      <w:pPr>
        <w:spacing w:before="240" w:after="240" w:line="360" w:lineRule="auto"/>
        <w:ind w:right="49"/>
        <w:jc w:val="both"/>
        <w:rPr>
          <w:rFonts w:ascii="Palatino Linotype" w:eastAsia="Times New Roman" w:hAnsi="Palatino Linotype" w:cs="Tahoma"/>
          <w:sz w:val="23"/>
          <w:szCs w:val="23"/>
          <w:lang w:eastAsia="es-ES"/>
        </w:rPr>
      </w:pPr>
      <w:r w:rsidRPr="0077579A">
        <w:rPr>
          <w:rFonts w:ascii="Palatino Linotype" w:eastAsia="Times New Roman" w:hAnsi="Palatino Linotype" w:cs="Tahoma"/>
          <w:sz w:val="23"/>
          <w:szCs w:val="23"/>
          <w:lang w:eastAsia="es-ES"/>
        </w:rPr>
        <w:t xml:space="preserve">Ahora bien, para el cambio de modalidad a “consulta directa”, es pertinente mencionar que conforme a lo dispuesto en el artículo 158 de la Ley de Transparencia </w:t>
      </w:r>
      <w:proofErr w:type="spellStart"/>
      <w:r w:rsidRPr="0077579A">
        <w:rPr>
          <w:rFonts w:ascii="Palatino Linotype" w:eastAsia="Times New Roman" w:hAnsi="Palatino Linotype" w:cs="Tahoma"/>
          <w:sz w:val="23"/>
          <w:szCs w:val="23"/>
          <w:lang w:eastAsia="es-ES"/>
        </w:rPr>
        <w:t>supraindicada</w:t>
      </w:r>
      <w:proofErr w:type="spellEnd"/>
      <w:r w:rsidRPr="0077579A">
        <w:rPr>
          <w:rFonts w:ascii="Palatino Linotype" w:eastAsia="Times New Roman" w:hAnsi="Palatino Linotype" w:cs="Tahoma"/>
          <w:sz w:val="23"/>
          <w:szCs w:val="23"/>
          <w:lang w:eastAsia="es-ES"/>
        </w:rPr>
        <w:t xml:space="preserve">, corresponde a los Sujetos Obligados, de manera excepcional, poner a disposición de los solicitantes la información peticionada en consulta directa, siempre y cuando funden y motiven su determinación, ya sea porque implique su análisis, estudio o procesamiento de documentos cuya entrega o reproducción sobrepase las capacidades técnicas administrativas y humanas del Sujeto Obligado. </w:t>
      </w:r>
    </w:p>
    <w:p w:rsidR="00206003" w:rsidRPr="0077579A" w:rsidRDefault="00206003" w:rsidP="00206003">
      <w:pPr>
        <w:spacing w:before="240" w:after="240" w:line="360" w:lineRule="auto"/>
        <w:jc w:val="both"/>
        <w:rPr>
          <w:rFonts w:ascii="Palatino Linotype" w:eastAsia="Times New Roman" w:hAnsi="Palatino Linotype" w:cs="Tahoma"/>
          <w:sz w:val="23"/>
          <w:szCs w:val="23"/>
          <w:lang w:eastAsia="es-ES"/>
        </w:rPr>
      </w:pPr>
      <w:r w:rsidRPr="0077579A">
        <w:rPr>
          <w:rFonts w:ascii="Palatino Linotype" w:eastAsia="Times New Roman" w:hAnsi="Palatino Linotype" w:cs="Tahoma"/>
          <w:sz w:val="23"/>
          <w:szCs w:val="23"/>
          <w:lang w:eastAsia="es-ES"/>
        </w:rPr>
        <w:t xml:space="preserve">Adicional a lo anterior, se deberán acreditar lo dispuesto en el numeral Cincuenta y Cuatro de los </w:t>
      </w:r>
      <w:r w:rsidRPr="0077579A">
        <w:rPr>
          <w:rFonts w:ascii="Palatino Linotype" w:eastAsia="Times New Roman" w:hAnsi="Palatino Linotype" w:cs="Arial"/>
          <w:sz w:val="23"/>
          <w:szCs w:val="23"/>
          <w:lang w:val="es-ES" w:eastAsia="es-ES"/>
        </w:rPr>
        <w:t xml:space="preserve">“Lineamientos para la Recepción, Trámite y Resolución de las Solicitudes de Acceso a la Información, así como de los Recursos de Revisión que deberán observar </w:t>
      </w:r>
      <w:r w:rsidRPr="0077579A">
        <w:rPr>
          <w:rFonts w:ascii="Palatino Linotype" w:eastAsia="Times New Roman" w:hAnsi="Palatino Linotype" w:cs="Arial"/>
          <w:sz w:val="23"/>
          <w:szCs w:val="23"/>
          <w:lang w:val="es-ES" w:eastAsia="es-ES"/>
        </w:rPr>
        <w:lastRenderedPageBreak/>
        <w:t>los Sujetos Obligados por la Ley de Transparencia y Acceso a la Información Pública del Estado de México y Municipios”</w:t>
      </w:r>
      <w:r w:rsidRPr="0077579A">
        <w:rPr>
          <w:rStyle w:val="Refdenotaalpie"/>
          <w:rFonts w:ascii="Palatino Linotype" w:eastAsia="Times New Roman" w:hAnsi="Palatino Linotype" w:cs="Arial"/>
          <w:sz w:val="23"/>
          <w:szCs w:val="23"/>
          <w:lang w:val="es-ES" w:eastAsia="es-ES"/>
        </w:rPr>
        <w:footnoteReference w:id="1"/>
      </w:r>
      <w:r w:rsidRPr="0077579A">
        <w:rPr>
          <w:rFonts w:ascii="Palatino Linotype" w:eastAsia="Times New Roman" w:hAnsi="Palatino Linotype" w:cs="Tahoma"/>
          <w:sz w:val="23"/>
          <w:szCs w:val="23"/>
          <w:lang w:eastAsia="es-ES"/>
        </w:rPr>
        <w:t xml:space="preserve">  que a la letra dispone:</w:t>
      </w:r>
    </w:p>
    <w:p w:rsidR="00206003" w:rsidRPr="002F02E8" w:rsidRDefault="00206003" w:rsidP="00206003">
      <w:pPr>
        <w:spacing w:after="0" w:line="240" w:lineRule="auto"/>
        <w:ind w:left="851" w:right="851"/>
        <w:jc w:val="both"/>
        <w:rPr>
          <w:rFonts w:ascii="Palatino Linotype" w:eastAsia="Times New Roman" w:hAnsi="Palatino Linotype" w:cs="Arial"/>
          <w:bCs/>
          <w:i/>
          <w:noProof/>
          <w:lang w:val="es-ES" w:eastAsia="es-ES"/>
        </w:rPr>
      </w:pPr>
      <w:r w:rsidRPr="002F02E8">
        <w:rPr>
          <w:rFonts w:ascii="Palatino Linotype" w:eastAsia="Times New Roman" w:hAnsi="Palatino Linotype" w:cs="Arial"/>
          <w:b/>
          <w:bCs/>
          <w:i/>
          <w:noProof/>
          <w:lang w:val="es-ES" w:eastAsia="es-ES"/>
        </w:rPr>
        <w:t>“CINCUENTA Y CUATRO.-</w:t>
      </w:r>
      <w:r w:rsidRPr="002F02E8">
        <w:rPr>
          <w:rFonts w:ascii="Palatino Linotype" w:eastAsia="Times New Roman" w:hAnsi="Palatino Linotype" w:cs="Arial"/>
          <w:bCs/>
          <w:i/>
          <w:noProof/>
          <w:lang w:val="es-ES" w:eastAsia="es-ES"/>
        </w:rPr>
        <w:t xml:space="preserve"> De acuerdo a lo dispuesto por el párrafo segundo del artículo 48 de la Ley, la información podrá ser entregada vía electrónica a través del SICOSIEM. </w:t>
      </w:r>
    </w:p>
    <w:p w:rsidR="00206003" w:rsidRPr="002F02E8" w:rsidRDefault="00206003" w:rsidP="00206003">
      <w:pPr>
        <w:spacing w:after="0" w:line="240" w:lineRule="auto"/>
        <w:ind w:left="851" w:right="851"/>
        <w:jc w:val="both"/>
        <w:rPr>
          <w:rFonts w:ascii="Palatino Linotype" w:eastAsia="Times New Roman" w:hAnsi="Palatino Linotype" w:cs="Arial"/>
          <w:b/>
          <w:bCs/>
          <w:i/>
          <w:noProof/>
          <w:u w:val="single"/>
          <w:lang w:val="es-ES" w:eastAsia="es-ES"/>
        </w:rPr>
      </w:pPr>
    </w:p>
    <w:p w:rsidR="00206003" w:rsidRPr="002F02E8" w:rsidRDefault="00206003" w:rsidP="00206003">
      <w:pPr>
        <w:spacing w:after="0" w:line="240" w:lineRule="auto"/>
        <w:ind w:left="851" w:right="851"/>
        <w:jc w:val="both"/>
        <w:rPr>
          <w:rFonts w:ascii="Palatino Linotype" w:eastAsia="Times New Roman" w:hAnsi="Palatino Linotype" w:cs="Arial"/>
          <w:bCs/>
          <w:i/>
          <w:noProof/>
          <w:lang w:val="es-ES" w:eastAsia="es-ES"/>
        </w:rPr>
      </w:pPr>
      <w:r w:rsidRPr="002F02E8">
        <w:rPr>
          <w:rFonts w:ascii="Palatino Linotype" w:eastAsia="Times New Roman" w:hAnsi="Palatino Linotype" w:cs="Arial"/>
          <w:bCs/>
          <w:i/>
          <w:noProof/>
          <w:lang w:val="es-ES" w:eastAsia="es-ES"/>
        </w:rPr>
        <w:t>Es obligación del responsable de la Unidad de Información verificar que los archivos electrónicos que contengan la información entregada, se encuentra agregada al SICOSIEM.</w:t>
      </w:r>
    </w:p>
    <w:p w:rsidR="00206003" w:rsidRPr="002F02E8" w:rsidRDefault="00206003" w:rsidP="00206003">
      <w:pPr>
        <w:spacing w:after="0" w:line="240" w:lineRule="auto"/>
        <w:ind w:left="851" w:right="851"/>
        <w:jc w:val="both"/>
        <w:rPr>
          <w:rFonts w:ascii="Palatino Linotype" w:eastAsia="Times New Roman" w:hAnsi="Palatino Linotype" w:cs="Arial"/>
          <w:bCs/>
          <w:i/>
          <w:noProof/>
          <w:u w:val="single"/>
          <w:lang w:val="es-ES" w:eastAsia="es-ES"/>
        </w:rPr>
      </w:pPr>
    </w:p>
    <w:p w:rsidR="00206003" w:rsidRPr="002F02E8" w:rsidRDefault="00206003" w:rsidP="00206003">
      <w:pPr>
        <w:spacing w:after="0" w:line="240" w:lineRule="auto"/>
        <w:ind w:left="851" w:right="851"/>
        <w:jc w:val="both"/>
        <w:rPr>
          <w:rFonts w:ascii="Palatino Linotype" w:eastAsia="Times New Roman" w:hAnsi="Palatino Linotype" w:cs="Arial"/>
          <w:bCs/>
          <w:i/>
          <w:noProof/>
          <w:lang w:val="es-ES" w:eastAsia="es-ES"/>
        </w:rPr>
      </w:pPr>
      <w:r w:rsidRPr="002F02E8">
        <w:rPr>
          <w:rFonts w:ascii="Palatino Linotype" w:eastAsia="Times New Roman" w:hAnsi="Palatino Linotype" w:cs="Arial"/>
          <w:bCs/>
          <w:i/>
          <w:noProof/>
          <w:u w:val="single"/>
          <w:lang w:val="es-ES" w:eastAsia="es-ES"/>
        </w:rPr>
        <w:t>En caso de que el responsable de la Unidad de Información no pueda agregar al SICOSIEM los archivos electrónicos que contengan la información por motivos técnicos, debe avisar de inmediato al Instituto, a través del correo electrónico institucional</w:t>
      </w:r>
      <w:r w:rsidRPr="002F02E8">
        <w:rPr>
          <w:rFonts w:ascii="Palatino Linotype" w:eastAsia="Times New Roman" w:hAnsi="Palatino Linotype" w:cs="Arial"/>
          <w:bCs/>
          <w:i/>
          <w:noProof/>
          <w:lang w:val="es-ES" w:eastAsia="es-ES"/>
        </w:rPr>
        <w:t>, además de comunicarse vía telefónica de inmediato a efecto de que reciba el apoyo técnico correspondiente.</w:t>
      </w:r>
    </w:p>
    <w:p w:rsidR="00206003" w:rsidRPr="002F02E8" w:rsidRDefault="00206003" w:rsidP="00206003">
      <w:pPr>
        <w:spacing w:after="0" w:line="240" w:lineRule="auto"/>
        <w:ind w:left="851" w:right="851"/>
        <w:jc w:val="both"/>
        <w:rPr>
          <w:rFonts w:ascii="Palatino Linotype" w:eastAsia="Times New Roman" w:hAnsi="Palatino Linotype" w:cs="Arial"/>
          <w:bCs/>
          <w:i/>
          <w:noProof/>
          <w:lang w:val="es-ES" w:eastAsia="es-ES"/>
        </w:rPr>
      </w:pPr>
    </w:p>
    <w:p w:rsidR="00206003" w:rsidRPr="002F02E8" w:rsidRDefault="00206003" w:rsidP="00206003">
      <w:pPr>
        <w:spacing w:after="0" w:line="240" w:lineRule="auto"/>
        <w:ind w:left="851" w:right="851"/>
        <w:jc w:val="both"/>
        <w:rPr>
          <w:rFonts w:ascii="Palatino Linotype" w:eastAsia="Times New Roman" w:hAnsi="Palatino Linotype" w:cs="Arial"/>
          <w:bCs/>
          <w:i/>
          <w:noProof/>
          <w:lang w:val="es-ES" w:eastAsia="es-ES"/>
        </w:rPr>
      </w:pPr>
      <w:r w:rsidRPr="002F02E8">
        <w:rPr>
          <w:rFonts w:ascii="Palatino Linotype" w:eastAsia="Times New Roman" w:hAnsi="Palatino Linotype" w:cs="Arial"/>
          <w:bCs/>
          <w:i/>
          <w:noProof/>
          <w:u w:val="single"/>
          <w:lang w:val="es-ES" w:eastAsia="es-ES"/>
        </w:rPr>
        <w:t>La Dirección de Sistemas e Informática del Instituto, debe llevar un registro de incidencias en el cual se asienten todas las llamas referentes al apoyo técnico para agregar los archivos electrónicos al SICOSIEM</w:t>
      </w:r>
      <w:r w:rsidRPr="002F02E8">
        <w:rPr>
          <w:rFonts w:ascii="Palatino Linotype" w:eastAsia="Times New Roman" w:hAnsi="Palatino Linotype" w:cs="Arial"/>
          <w:bCs/>
          <w:i/>
          <w:noProof/>
          <w:lang w:val="es-ES" w:eastAsia="es-ES"/>
        </w:rPr>
        <w:t>.</w:t>
      </w:r>
    </w:p>
    <w:p w:rsidR="00206003" w:rsidRPr="002F02E8" w:rsidRDefault="00206003" w:rsidP="00206003">
      <w:pPr>
        <w:spacing w:after="0" w:line="240" w:lineRule="auto"/>
        <w:ind w:left="851" w:right="851"/>
        <w:jc w:val="both"/>
        <w:rPr>
          <w:rFonts w:ascii="Palatino Linotype" w:eastAsia="Times New Roman" w:hAnsi="Palatino Linotype" w:cs="Arial"/>
          <w:bCs/>
          <w:i/>
          <w:noProof/>
          <w:u w:val="single"/>
          <w:lang w:val="es-ES" w:eastAsia="es-ES"/>
        </w:rPr>
      </w:pPr>
    </w:p>
    <w:p w:rsidR="00206003" w:rsidRPr="002F02E8" w:rsidRDefault="00206003" w:rsidP="00206003">
      <w:pPr>
        <w:spacing w:after="0" w:line="240" w:lineRule="auto"/>
        <w:ind w:left="851" w:right="851"/>
        <w:jc w:val="both"/>
        <w:rPr>
          <w:rFonts w:ascii="Palatino Linotype" w:eastAsia="Times New Roman" w:hAnsi="Palatino Linotype" w:cs="Arial"/>
          <w:bCs/>
          <w:i/>
          <w:noProof/>
          <w:u w:val="single"/>
          <w:lang w:val="es-ES" w:eastAsia="es-ES"/>
        </w:rPr>
      </w:pPr>
      <w:r w:rsidRPr="002F02E8">
        <w:rPr>
          <w:rFonts w:ascii="Palatino Linotype" w:eastAsia="Times New Roman" w:hAnsi="Palatino Linotype" w:cs="Arial"/>
          <w:bCs/>
          <w:i/>
          <w:noProof/>
          <w:u w:val="single"/>
          <w:lang w:val="es-ES" w:eastAsia="es-ES"/>
        </w:rPr>
        <w:t xml:space="preserve">La omisión por parte del responsable de la Unidad de Información del procedimiento antes descrito presume la negativa de la entrega de la Información. </w:t>
      </w:r>
    </w:p>
    <w:p w:rsidR="00206003" w:rsidRPr="002F02E8" w:rsidRDefault="00206003" w:rsidP="00206003">
      <w:pPr>
        <w:spacing w:after="0" w:line="240" w:lineRule="auto"/>
        <w:ind w:left="851" w:right="851"/>
        <w:jc w:val="both"/>
        <w:rPr>
          <w:rFonts w:ascii="Palatino Linotype" w:eastAsia="Times New Roman" w:hAnsi="Palatino Linotype" w:cs="Arial"/>
          <w:bCs/>
          <w:i/>
          <w:noProof/>
          <w:u w:val="single"/>
          <w:lang w:val="es-ES" w:eastAsia="es-ES"/>
        </w:rPr>
      </w:pPr>
    </w:p>
    <w:p w:rsidR="00206003" w:rsidRPr="002F02E8" w:rsidRDefault="00206003" w:rsidP="00206003">
      <w:pPr>
        <w:spacing w:after="0" w:line="240" w:lineRule="auto"/>
        <w:ind w:left="851" w:right="851"/>
        <w:jc w:val="both"/>
        <w:rPr>
          <w:rFonts w:ascii="Palatino Linotype" w:eastAsia="Times New Roman" w:hAnsi="Palatino Linotype" w:cs="Arial"/>
          <w:bCs/>
          <w:i/>
          <w:noProof/>
          <w:lang w:val="es-ES" w:eastAsia="es-ES"/>
        </w:rPr>
      </w:pPr>
      <w:r w:rsidRPr="002F02E8">
        <w:rPr>
          <w:rFonts w:ascii="Palatino Linotype" w:eastAsia="Times New Roman" w:hAnsi="Palatino Linotype" w:cs="Arial"/>
          <w:bCs/>
          <w:i/>
          <w:noProof/>
          <w:u w:val="single"/>
          <w:lang w:val="es-ES" w:eastAsia="es-ES"/>
        </w:rPr>
        <w:t>Cuando la información no pueda ser remitida vía electrónica</w:t>
      </w:r>
      <w:r w:rsidRPr="002F02E8">
        <w:rPr>
          <w:rFonts w:ascii="Palatino Linotype" w:eastAsia="Times New Roman" w:hAnsi="Palatino Linotype" w:cs="Arial"/>
          <w:bCs/>
          <w:i/>
          <w:noProof/>
          <w:lang w:val="es-ES" w:eastAsia="es-ES"/>
        </w:rPr>
        <w:t xml:space="preserve">, </w:t>
      </w:r>
      <w:r w:rsidRPr="002F02E8">
        <w:rPr>
          <w:rFonts w:ascii="Palatino Linotype" w:eastAsia="Times New Roman" w:hAnsi="Palatino Linotype" w:cs="Arial"/>
          <w:bCs/>
          <w:i/>
          <w:noProof/>
          <w:u w:val="single"/>
          <w:lang w:val="es-ES" w:eastAsia="es-ES"/>
        </w:rPr>
        <w:t>se deberá fundar y motivar la resolución respectiva</w:t>
      </w:r>
      <w:r w:rsidRPr="002F02E8">
        <w:rPr>
          <w:rFonts w:ascii="Palatino Linotype" w:eastAsia="Times New Roman" w:hAnsi="Palatino Linotype" w:cs="Arial"/>
          <w:bCs/>
          <w:i/>
          <w:noProof/>
          <w:lang w:val="es-ES" w:eastAsia="es-ES"/>
        </w:rPr>
        <w:t xml:space="preserve">, </w:t>
      </w:r>
      <w:r w:rsidRPr="002F02E8">
        <w:rPr>
          <w:rFonts w:ascii="Palatino Linotype" w:eastAsia="Times New Roman" w:hAnsi="Palatino Linotype" w:cs="Arial"/>
          <w:bCs/>
          <w:i/>
          <w:noProof/>
          <w:u w:val="single"/>
          <w:lang w:val="es-ES" w:eastAsia="es-ES"/>
        </w:rPr>
        <w:t>explicando en todo momento las causas que impiden el envío de la información de forma electrónica</w:t>
      </w:r>
      <w:r w:rsidRPr="002F02E8">
        <w:rPr>
          <w:rFonts w:ascii="Palatino Linotype" w:eastAsia="Times New Roman" w:hAnsi="Palatino Linotype" w:cs="Arial"/>
          <w:bCs/>
          <w:i/>
          <w:noProof/>
          <w:lang w:val="es-ES" w:eastAsia="es-ES"/>
        </w:rPr>
        <w:t>.</w:t>
      </w:r>
    </w:p>
    <w:p w:rsidR="00206003" w:rsidRPr="002F02E8" w:rsidRDefault="00206003" w:rsidP="00206003">
      <w:pPr>
        <w:spacing w:after="0" w:line="240" w:lineRule="auto"/>
        <w:ind w:left="851" w:right="851"/>
        <w:jc w:val="both"/>
        <w:rPr>
          <w:rFonts w:ascii="Palatino Linotype" w:eastAsia="Times New Roman" w:hAnsi="Palatino Linotype" w:cs="Arial"/>
          <w:bCs/>
          <w:i/>
          <w:noProof/>
          <w:lang w:val="es-ES" w:eastAsia="es-ES"/>
        </w:rPr>
      </w:pPr>
    </w:p>
    <w:p w:rsidR="00206003" w:rsidRPr="002F02E8" w:rsidRDefault="00206003" w:rsidP="00206003">
      <w:pPr>
        <w:spacing w:after="0" w:line="240" w:lineRule="auto"/>
        <w:ind w:left="851" w:right="851"/>
        <w:jc w:val="both"/>
        <w:rPr>
          <w:rFonts w:ascii="Palatino Linotype" w:eastAsia="Times New Roman" w:hAnsi="Palatino Linotype" w:cs="Arial"/>
          <w:bCs/>
          <w:i/>
          <w:noProof/>
          <w:u w:val="single"/>
          <w:lang w:val="es-ES" w:eastAsia="es-ES"/>
        </w:rPr>
      </w:pPr>
      <w:r w:rsidRPr="002F02E8">
        <w:rPr>
          <w:rFonts w:ascii="Palatino Linotype" w:eastAsia="Times New Roman" w:hAnsi="Palatino Linotype" w:cs="Arial"/>
          <w:bCs/>
          <w:i/>
          <w:noProof/>
          <w:u w:val="single"/>
          <w:lang w:val="es-ES" w:eastAsia="es-ES"/>
        </w:rPr>
        <w:lastRenderedPageBreak/>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w:t>
      </w:r>
    </w:p>
    <w:p w:rsidR="00206003" w:rsidRPr="002F02E8" w:rsidRDefault="00206003" w:rsidP="00206003">
      <w:pPr>
        <w:spacing w:after="0" w:line="240" w:lineRule="auto"/>
        <w:ind w:left="851" w:right="851"/>
        <w:jc w:val="both"/>
        <w:rPr>
          <w:rFonts w:ascii="Palatino Linotype" w:eastAsia="Times New Roman" w:hAnsi="Palatino Linotype" w:cs="Arial"/>
          <w:bCs/>
          <w:i/>
          <w:noProof/>
          <w:lang w:val="es-ES" w:eastAsia="es-ES"/>
        </w:rPr>
      </w:pPr>
    </w:p>
    <w:p w:rsidR="00206003" w:rsidRPr="002F02E8" w:rsidRDefault="00206003" w:rsidP="00206003">
      <w:pPr>
        <w:spacing w:after="0" w:line="240" w:lineRule="auto"/>
        <w:ind w:left="851" w:right="851"/>
        <w:jc w:val="both"/>
        <w:rPr>
          <w:rFonts w:ascii="Palatino Linotype" w:eastAsia="Times New Roman" w:hAnsi="Palatino Linotype" w:cs="Arial"/>
          <w:bCs/>
          <w:i/>
          <w:noProof/>
          <w:lang w:val="es-ES" w:eastAsia="es-ES"/>
        </w:rPr>
      </w:pPr>
      <w:r w:rsidRPr="002F02E8">
        <w:rPr>
          <w:rFonts w:ascii="Palatino Linotype" w:eastAsia="Times New Roman" w:hAnsi="Palatino Linotype" w:cs="Arial"/>
          <w:bCs/>
          <w:i/>
          <w:noProof/>
          <w:lang w:val="es-ES" w:eastAsia="es-ES"/>
        </w:rPr>
        <w:t>El formato mencionado deberá estar agregado al expediente electrónico de la solicitud de información pública, en el estatus respectivo.</w:t>
      </w:r>
      <w:r w:rsidRPr="002F02E8">
        <w:rPr>
          <w:rFonts w:ascii="Palatino Linotype" w:eastAsia="Times New Roman" w:hAnsi="Palatino Linotype" w:cs="Arial"/>
          <w:b/>
          <w:bCs/>
          <w:i/>
          <w:noProof/>
          <w:lang w:val="es-ES" w:eastAsia="es-ES"/>
        </w:rPr>
        <w:t>”</w:t>
      </w:r>
    </w:p>
    <w:p w:rsidR="00206003" w:rsidRPr="002F02E8" w:rsidRDefault="00206003" w:rsidP="00206003">
      <w:pPr>
        <w:spacing w:after="0" w:line="240" w:lineRule="auto"/>
        <w:ind w:left="851" w:right="851"/>
        <w:jc w:val="both"/>
        <w:rPr>
          <w:rFonts w:ascii="Palatino Linotype" w:eastAsia="Times New Roman" w:hAnsi="Palatino Linotype" w:cs="Arial"/>
          <w:bCs/>
          <w:noProof/>
          <w:lang w:val="es-ES" w:eastAsia="es-ES"/>
        </w:rPr>
      </w:pPr>
      <w:r w:rsidRPr="002F02E8">
        <w:rPr>
          <w:rFonts w:ascii="Palatino Linotype" w:eastAsia="Times New Roman" w:hAnsi="Palatino Linotype" w:cs="Arial"/>
          <w:bCs/>
          <w:noProof/>
          <w:lang w:val="es-ES" w:eastAsia="es-ES"/>
        </w:rPr>
        <w:t xml:space="preserve">             </w:t>
      </w:r>
    </w:p>
    <w:p w:rsidR="00206003" w:rsidRPr="002F02E8" w:rsidRDefault="00206003" w:rsidP="00206003">
      <w:pPr>
        <w:spacing w:after="0" w:line="240" w:lineRule="auto"/>
        <w:ind w:left="851" w:right="851"/>
        <w:jc w:val="both"/>
        <w:rPr>
          <w:rFonts w:ascii="Palatino Linotype" w:eastAsia="Times New Roman" w:hAnsi="Palatino Linotype" w:cs="Arial"/>
          <w:bCs/>
          <w:noProof/>
          <w:lang w:val="es-ES" w:eastAsia="es-ES"/>
        </w:rPr>
      </w:pPr>
      <w:r w:rsidRPr="002F02E8">
        <w:rPr>
          <w:rFonts w:ascii="Palatino Linotype" w:eastAsia="Times New Roman" w:hAnsi="Palatino Linotype" w:cs="Arial"/>
          <w:bCs/>
          <w:noProof/>
          <w:lang w:val="es-ES" w:eastAsia="es-ES"/>
        </w:rPr>
        <w:t>(Énfasis añadido).</w:t>
      </w:r>
    </w:p>
    <w:p w:rsidR="00206003" w:rsidRPr="0077579A" w:rsidRDefault="00206003" w:rsidP="00206003">
      <w:pPr>
        <w:spacing w:before="240" w:after="240" w:line="360" w:lineRule="auto"/>
        <w:ind w:right="616"/>
        <w:jc w:val="both"/>
        <w:rPr>
          <w:rFonts w:ascii="Palatino Linotype" w:eastAsia="Times New Roman" w:hAnsi="Palatino Linotype" w:cs="Arial"/>
          <w:sz w:val="23"/>
          <w:szCs w:val="23"/>
          <w:lang w:val="es-ES" w:eastAsia="es-ES"/>
        </w:rPr>
      </w:pPr>
      <w:r w:rsidRPr="0077579A">
        <w:rPr>
          <w:rFonts w:ascii="Palatino Linotype" w:eastAsia="Times New Roman" w:hAnsi="Palatino Linotype" w:cs="Arial"/>
          <w:sz w:val="23"/>
          <w:szCs w:val="23"/>
          <w:lang w:val="es-ES" w:eastAsia="es-ES"/>
        </w:rPr>
        <w:t xml:space="preserve">Es así que los Sujetos Obligados deben respetar la forma de entrega de la información elegida por los Recurrentes para la entrega de la información, por lo tanto, si en el caso concreto se eligió a través del correo electrónico personal del peticionario, el titular de la Unidad de Transparencia debió agregar los archivos electrónicos que contengan la información requerida en la citada modalidad y sólo en caso de imposibilidad técnica, y previo aviso a este Instituto, puede optar por cambiar la modalidad de entrega, lo cual omitió realizar el Sujeto Obligado.  </w:t>
      </w:r>
    </w:p>
    <w:p w:rsidR="00206003" w:rsidRPr="0077579A" w:rsidRDefault="00206003" w:rsidP="00206003">
      <w:pPr>
        <w:autoSpaceDE w:val="0"/>
        <w:autoSpaceDN w:val="0"/>
        <w:adjustRightInd w:val="0"/>
        <w:spacing w:before="240" w:after="240" w:line="360" w:lineRule="auto"/>
        <w:ind w:right="-3"/>
        <w:jc w:val="both"/>
        <w:rPr>
          <w:rFonts w:ascii="Palatino Linotype" w:hAnsi="Palatino Linotype" w:cs="Bookman Old Style"/>
          <w:sz w:val="23"/>
          <w:szCs w:val="23"/>
        </w:rPr>
      </w:pPr>
      <w:r w:rsidRPr="0077579A">
        <w:rPr>
          <w:rFonts w:ascii="Palatino Linotype" w:hAnsi="Palatino Linotype" w:cs="Bookman Old Style"/>
          <w:sz w:val="23"/>
          <w:szCs w:val="23"/>
        </w:rPr>
        <w:t>Adicional a lo expuesto es pertinente atender lo expuesto en la “Relatoría Especial para la Libertad de Expresión Comisión de Derechos Humanos”</w:t>
      </w:r>
      <w:r w:rsidRPr="0077579A">
        <w:rPr>
          <w:rFonts w:ascii="Palatino Linotype" w:hAnsi="Palatino Linotype" w:cs="Bookman Old Style"/>
          <w:sz w:val="23"/>
          <w:szCs w:val="23"/>
          <w:vertAlign w:val="superscript"/>
        </w:rPr>
        <w:footnoteReference w:id="2"/>
      </w:r>
      <w:r w:rsidRPr="0077579A">
        <w:rPr>
          <w:rFonts w:ascii="Palatino Linotype" w:hAnsi="Palatino Linotype" w:cs="Bookman Old Style"/>
          <w:sz w:val="23"/>
          <w:szCs w:val="23"/>
        </w:rPr>
        <w:t>, que en su inciso “b”, punto 13 menciona:</w:t>
      </w:r>
    </w:p>
    <w:p w:rsidR="00206003" w:rsidRPr="002E6970" w:rsidRDefault="00206003" w:rsidP="00206003">
      <w:pPr>
        <w:autoSpaceDE w:val="0"/>
        <w:autoSpaceDN w:val="0"/>
        <w:adjustRightInd w:val="0"/>
        <w:spacing w:after="0" w:line="240" w:lineRule="auto"/>
        <w:ind w:left="851" w:right="851"/>
        <w:jc w:val="both"/>
        <w:rPr>
          <w:rFonts w:ascii="Palatino Linotype" w:hAnsi="Palatino Linotype" w:cs="Bookman Old Style"/>
          <w:b/>
          <w:i/>
        </w:rPr>
      </w:pPr>
      <w:r w:rsidRPr="002E6970">
        <w:rPr>
          <w:rFonts w:ascii="Palatino Linotype" w:hAnsi="Palatino Linotype" w:cs="Bookman Old Style"/>
          <w:i/>
        </w:rPr>
        <w:t>‘</w:t>
      </w:r>
      <w:r w:rsidRPr="002E6970">
        <w:rPr>
          <w:rFonts w:ascii="Palatino Linotype" w:hAnsi="Palatino Linotype" w:cs="Bookman Old Style"/>
          <w:b/>
          <w:i/>
        </w:rPr>
        <w:t>b. Carga de la probatoria para el Estado en caso de establecer limitaciones al derecho de acceso a la información</w:t>
      </w:r>
    </w:p>
    <w:p w:rsidR="00206003" w:rsidRPr="002E6970" w:rsidRDefault="00206003" w:rsidP="00206003">
      <w:pPr>
        <w:autoSpaceDE w:val="0"/>
        <w:autoSpaceDN w:val="0"/>
        <w:adjustRightInd w:val="0"/>
        <w:spacing w:after="0" w:line="240" w:lineRule="auto"/>
        <w:ind w:left="851" w:right="851"/>
        <w:jc w:val="both"/>
        <w:rPr>
          <w:rFonts w:ascii="Palatino Linotype" w:hAnsi="Palatino Linotype" w:cs="Bookman Old Style"/>
          <w:b/>
          <w:i/>
        </w:rPr>
      </w:pPr>
    </w:p>
    <w:p w:rsidR="00206003" w:rsidRPr="002E6970" w:rsidRDefault="00206003" w:rsidP="00206003">
      <w:pPr>
        <w:autoSpaceDE w:val="0"/>
        <w:autoSpaceDN w:val="0"/>
        <w:adjustRightInd w:val="0"/>
        <w:spacing w:after="0" w:line="240" w:lineRule="auto"/>
        <w:ind w:left="851" w:right="851"/>
        <w:jc w:val="both"/>
        <w:rPr>
          <w:rFonts w:ascii="Palatino Linotype" w:hAnsi="Palatino Linotype" w:cs="Bookman Old Style"/>
          <w:i/>
        </w:rPr>
      </w:pPr>
      <w:r w:rsidRPr="002E6970">
        <w:rPr>
          <w:rFonts w:ascii="Palatino Linotype" w:hAnsi="Palatino Linotype" w:cs="Bookman Old Style"/>
          <w:i/>
        </w:rPr>
        <w:lastRenderedPageBreak/>
        <w:t xml:space="preserve">13. La jurisprudencia de la Corte Interamericana ha establecido que e l Estado tiene la carga de la prueba de demostrar que las limitaciones al acceso a la información son compatibles con las normas interamericanas sobre libertad de expresión. Así También lo ha afirmado el Comité Jurídico Interamericano en su resolución sobre los “Principios sobre el Derecho de Acceso a la Información” al establecer que, la carga de la prueba para justificar cualquier negativa de acceso a la información debe recaer en el órgano al cual la información fue solicitada”. Lo anterior permite generar seguridad jurídica ene le ejercicio del derecho de acceso a la información, pues, al estar la información en control del Estado debe evitarse al máximo la actuación discrecional y arbitraje del mismo en el establecimiento de las restricciones al derecho’      </w:t>
      </w:r>
    </w:p>
    <w:p w:rsidR="00206003" w:rsidRPr="002E6970" w:rsidRDefault="00206003" w:rsidP="00206003">
      <w:pPr>
        <w:autoSpaceDE w:val="0"/>
        <w:autoSpaceDN w:val="0"/>
        <w:adjustRightInd w:val="0"/>
        <w:spacing w:after="0" w:line="360" w:lineRule="auto"/>
        <w:ind w:right="-3"/>
        <w:jc w:val="both"/>
        <w:rPr>
          <w:rFonts w:ascii="Palatino Linotype" w:hAnsi="Palatino Linotype" w:cs="Bookman Old Style"/>
          <w:sz w:val="24"/>
          <w:szCs w:val="24"/>
        </w:rPr>
      </w:pPr>
      <w:r w:rsidRPr="002E6970">
        <w:rPr>
          <w:rFonts w:ascii="Palatino Linotype" w:hAnsi="Palatino Linotype" w:cs="Bookman Old Style"/>
          <w:sz w:val="24"/>
          <w:szCs w:val="24"/>
        </w:rPr>
        <w:t xml:space="preserve">  </w:t>
      </w:r>
    </w:p>
    <w:p w:rsidR="00206003" w:rsidRPr="0077579A" w:rsidRDefault="00206003" w:rsidP="00206003">
      <w:pPr>
        <w:autoSpaceDE w:val="0"/>
        <w:autoSpaceDN w:val="0"/>
        <w:adjustRightInd w:val="0"/>
        <w:spacing w:before="240" w:after="240" w:line="360" w:lineRule="auto"/>
        <w:ind w:right="-3"/>
        <w:jc w:val="both"/>
        <w:rPr>
          <w:rFonts w:ascii="Palatino Linotype" w:hAnsi="Palatino Linotype" w:cs="Bookman Old Style"/>
          <w:sz w:val="23"/>
          <w:szCs w:val="23"/>
        </w:rPr>
      </w:pPr>
      <w:r w:rsidRPr="0077579A">
        <w:rPr>
          <w:rFonts w:ascii="Palatino Linotype" w:hAnsi="Palatino Linotype" w:cs="Bookman Old Style"/>
          <w:sz w:val="23"/>
          <w:szCs w:val="23"/>
        </w:rPr>
        <w:t xml:space="preserve">Lo anterior, robustece que es el Sujeto Obligado, a quien le fue solicitada la información materia de estudio, quien en todo caso debe demostrar el cambio de modalidad de acceso a la misma, otorgando con ello la debida seguridad jurídica todo gobernado y con ello la garantía del derecho humano de acceso a la información pública al hoy Recurrente.  </w:t>
      </w:r>
    </w:p>
    <w:p w:rsidR="00B74007" w:rsidRPr="00D12EC2" w:rsidRDefault="00B74007" w:rsidP="00B74007">
      <w:pPr>
        <w:spacing w:before="240" w:after="0" w:line="360" w:lineRule="auto"/>
        <w:jc w:val="both"/>
        <w:rPr>
          <w:rFonts w:ascii="Palatino Linotype" w:hAnsi="Palatino Linotype" w:cs="Arial"/>
          <w:sz w:val="23"/>
          <w:szCs w:val="23"/>
        </w:rPr>
      </w:pPr>
      <w:r w:rsidRPr="00D12EC2">
        <w:rPr>
          <w:rFonts w:ascii="Palatino Linotype" w:hAnsi="Palatino Linotype" w:cs="Arial"/>
          <w:sz w:val="23"/>
          <w:szCs w:val="23"/>
        </w:rPr>
        <w:t xml:space="preserve">Por todo lo expuesto es que formulamos el presente voto particular concurrente, en los términos precisados. </w:t>
      </w:r>
    </w:p>
    <w:p w:rsidR="00B74007" w:rsidRPr="00D12EC2" w:rsidRDefault="00B74007" w:rsidP="00B74007"/>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8"/>
      </w:tblGrid>
      <w:tr w:rsidR="00B74007" w:rsidRPr="00D12EC2" w:rsidTr="005743C1">
        <w:trPr>
          <w:trHeight w:val="1953"/>
        </w:trPr>
        <w:tc>
          <w:tcPr>
            <w:tcW w:w="8838" w:type="dxa"/>
            <w:vAlign w:val="center"/>
          </w:tcPr>
          <w:p w:rsidR="00B74007" w:rsidRPr="00D12EC2" w:rsidRDefault="00B74007" w:rsidP="005743C1">
            <w:pPr>
              <w:jc w:val="both"/>
              <w:rPr>
                <w:rFonts w:ascii="Palatino Linotype" w:hAnsi="Palatino Linotype" w:cs="Arial"/>
                <w:b/>
                <w:sz w:val="23"/>
                <w:szCs w:val="23"/>
              </w:rPr>
            </w:pPr>
          </w:p>
          <w:p w:rsidR="00B74007" w:rsidRPr="00D12EC2" w:rsidRDefault="00B74007" w:rsidP="005743C1">
            <w:pPr>
              <w:jc w:val="both"/>
              <w:rPr>
                <w:rFonts w:ascii="Palatino Linotype" w:hAnsi="Palatino Linotype" w:cs="Arial"/>
                <w:b/>
                <w:sz w:val="23"/>
                <w:szCs w:val="23"/>
              </w:rPr>
            </w:pPr>
          </w:p>
          <w:p w:rsidR="00B74007" w:rsidRPr="00D12EC2" w:rsidRDefault="00B74007" w:rsidP="005743C1">
            <w:pPr>
              <w:rPr>
                <w:rFonts w:ascii="Palatino Linotype" w:hAnsi="Palatino Linotype" w:cs="Arial"/>
                <w:b/>
                <w:sz w:val="23"/>
                <w:szCs w:val="23"/>
              </w:rPr>
            </w:pPr>
            <w:r w:rsidRPr="00D12EC2">
              <w:rPr>
                <w:rFonts w:ascii="Palatino Linotype" w:hAnsi="Palatino Linotype" w:cs="Arial"/>
                <w:b/>
                <w:sz w:val="23"/>
                <w:szCs w:val="23"/>
              </w:rPr>
              <w:t xml:space="preserve">            Javier Martínez Cruz                                   </w:t>
            </w:r>
            <w:r w:rsidRPr="00D12EC2">
              <w:rPr>
                <w:rFonts w:ascii="Palatino Linotype" w:hAnsi="Palatino Linotype" w:cs="Arial"/>
                <w:b/>
                <w:sz w:val="23"/>
                <w:szCs w:val="23"/>
                <w:lang w:val="es-ES"/>
              </w:rPr>
              <w:t>Zulema Martínez Sánchez</w:t>
            </w:r>
            <w:r w:rsidRPr="00D12EC2">
              <w:rPr>
                <w:rFonts w:ascii="Palatino Linotype" w:hAnsi="Palatino Linotype" w:cs="Arial"/>
                <w:b/>
                <w:sz w:val="23"/>
                <w:szCs w:val="23"/>
              </w:rPr>
              <w:t xml:space="preserve"> </w:t>
            </w:r>
          </w:p>
          <w:p w:rsidR="00B74007" w:rsidRPr="00D12EC2" w:rsidRDefault="00B74007" w:rsidP="005743C1">
            <w:pPr>
              <w:rPr>
                <w:rFonts w:ascii="Palatino Linotype" w:hAnsi="Palatino Linotype" w:cs="Arial"/>
                <w:b/>
                <w:sz w:val="23"/>
                <w:szCs w:val="23"/>
              </w:rPr>
            </w:pPr>
            <w:r w:rsidRPr="00D12EC2">
              <w:rPr>
                <w:rFonts w:ascii="Palatino Linotype" w:hAnsi="Palatino Linotype" w:cs="Arial"/>
                <w:sz w:val="23"/>
                <w:szCs w:val="23"/>
              </w:rPr>
              <w:t xml:space="preserve">                  Comisionado</w:t>
            </w:r>
            <w:r w:rsidRPr="00D12EC2">
              <w:rPr>
                <w:rFonts w:ascii="Palatino Linotype" w:hAnsi="Palatino Linotype" w:cs="Arial"/>
                <w:b/>
                <w:sz w:val="23"/>
                <w:szCs w:val="23"/>
              </w:rPr>
              <w:t xml:space="preserve">                                                        </w:t>
            </w:r>
            <w:r w:rsidRPr="00D12EC2">
              <w:rPr>
                <w:rFonts w:ascii="Palatino Linotype" w:hAnsi="Palatino Linotype" w:cs="Arial"/>
                <w:sz w:val="23"/>
                <w:szCs w:val="23"/>
              </w:rPr>
              <w:t>Comisionada</w:t>
            </w:r>
            <w:r w:rsidRPr="00D12EC2">
              <w:rPr>
                <w:rFonts w:ascii="Palatino Linotype" w:hAnsi="Palatino Linotype" w:cs="Arial"/>
                <w:b/>
                <w:sz w:val="23"/>
                <w:szCs w:val="23"/>
              </w:rPr>
              <w:t xml:space="preserve">                                 </w:t>
            </w:r>
          </w:p>
          <w:p w:rsidR="00B74007" w:rsidRPr="00D12EC2" w:rsidRDefault="00B74007" w:rsidP="005743C1">
            <w:pPr>
              <w:rPr>
                <w:rFonts w:ascii="Palatino Linotype" w:hAnsi="Palatino Linotype" w:cs="Arial"/>
                <w:sz w:val="23"/>
                <w:szCs w:val="23"/>
              </w:rPr>
            </w:pPr>
            <w:r>
              <w:rPr>
                <w:rFonts w:ascii="Palatino Linotype" w:hAnsi="Palatino Linotype" w:cs="Arial"/>
                <w:sz w:val="23"/>
                <w:szCs w:val="23"/>
              </w:rPr>
              <w:t xml:space="preserve">                    </w:t>
            </w:r>
            <w:bookmarkStart w:id="0" w:name="_GoBack"/>
            <w:bookmarkEnd w:id="0"/>
          </w:p>
          <w:p w:rsidR="00B74007" w:rsidRPr="00D12EC2" w:rsidRDefault="00B74007" w:rsidP="005743C1">
            <w:pPr>
              <w:rPr>
                <w:rFonts w:ascii="Palatino Linotype" w:hAnsi="Palatino Linotype"/>
                <w:sz w:val="23"/>
                <w:szCs w:val="23"/>
              </w:rPr>
            </w:pPr>
            <w:r w:rsidRPr="00D12EC2">
              <w:rPr>
                <w:rFonts w:ascii="Palatino Linotype" w:hAnsi="Palatino Linotype"/>
                <w:sz w:val="23"/>
                <w:szCs w:val="23"/>
              </w:rPr>
              <w:t xml:space="preserve">                                                                                          </w:t>
            </w:r>
          </w:p>
        </w:tc>
      </w:tr>
    </w:tbl>
    <w:p w:rsidR="00586323" w:rsidRPr="00B74007" w:rsidRDefault="00206003" w:rsidP="00B74007">
      <w:pPr>
        <w:spacing w:after="0" w:line="240" w:lineRule="auto"/>
        <w:jc w:val="center"/>
        <w:rPr>
          <w:rFonts w:ascii="Palatino Linotype" w:hAnsi="Palatino Linotype"/>
          <w:b/>
          <w:sz w:val="24"/>
          <w:szCs w:val="24"/>
        </w:rPr>
      </w:pPr>
      <w:r w:rsidRPr="0052570E">
        <w:rPr>
          <w:rFonts w:ascii="Palatino Linotype" w:hAnsi="Palatino Linotype"/>
          <w:b/>
          <w:sz w:val="24"/>
          <w:szCs w:val="24"/>
        </w:rPr>
        <w:t xml:space="preserve">                                                                                                                                                                                                                                                                                                                                                                                                                                                                                                                                                                                                                                                                                                                                                                                                                                                                                                                                                                                                                                                                                                                                                                                                                                                                                                                                                                                                                                                                                                                                                                                                                                                                                                                                                                                                                                                                                                                                                                                                                                                                                                                                                                                                                                                                                                                                                                                                                                                                                                                                                                                                                                                                                                                                                                                                                                                                                                                                                                                                                                              </w:t>
      </w:r>
      <w:r>
        <w:rPr>
          <w:rFonts w:ascii="Palatino Linotype" w:hAnsi="Palatino Linotype"/>
          <w:b/>
          <w:sz w:val="24"/>
          <w:szCs w:val="24"/>
        </w:rPr>
        <w:t xml:space="preserve">                            </w:t>
      </w:r>
    </w:p>
    <w:sectPr w:rsidR="00586323" w:rsidRPr="00B74007" w:rsidSect="007F0307">
      <w:headerReference w:type="even" r:id="rId7"/>
      <w:headerReference w:type="default" r:id="rId8"/>
      <w:footerReference w:type="default" r:id="rId9"/>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A95" w:rsidRDefault="001C1A95" w:rsidP="00206003">
      <w:pPr>
        <w:spacing w:after="0" w:line="240" w:lineRule="auto"/>
      </w:pPr>
      <w:r>
        <w:separator/>
      </w:r>
    </w:p>
  </w:endnote>
  <w:endnote w:type="continuationSeparator" w:id="0">
    <w:p w:rsidR="001C1A95" w:rsidRDefault="001C1A95" w:rsidP="00206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Pr="00986599" w:rsidRDefault="009E6716"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B1AEA">
      <w:rPr>
        <w:rFonts w:ascii="Arial" w:hAnsi="Arial" w:cs="Arial"/>
        <w:b/>
        <w:bCs/>
        <w:noProof/>
        <w:sz w:val="20"/>
        <w:szCs w:val="20"/>
      </w:rPr>
      <w:t>7</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B1AEA">
      <w:rPr>
        <w:rFonts w:ascii="Arial" w:hAnsi="Arial" w:cs="Arial"/>
        <w:b/>
        <w:bCs/>
        <w:noProof/>
        <w:sz w:val="20"/>
        <w:szCs w:val="20"/>
      </w:rPr>
      <w:t>9</w:t>
    </w:r>
    <w:r w:rsidRPr="00986599">
      <w:rPr>
        <w:rFonts w:ascii="Arial" w:hAnsi="Arial" w:cs="Arial"/>
        <w:b/>
        <w:bCs/>
        <w:sz w:val="20"/>
        <w:szCs w:val="20"/>
      </w:rPr>
      <w:fldChar w:fldCharType="end"/>
    </w:r>
  </w:p>
  <w:p w:rsidR="007F0307" w:rsidRDefault="001C1A95" w:rsidP="007F0307">
    <w:pPr>
      <w:pStyle w:val="Piedepgina"/>
      <w:jc w:val="right"/>
    </w:pPr>
  </w:p>
  <w:p w:rsidR="003A7B43" w:rsidRDefault="001C1A95"/>
  <w:p w:rsidR="003A7B43" w:rsidRDefault="001C1A9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A95" w:rsidRDefault="001C1A95" w:rsidP="00206003">
      <w:pPr>
        <w:spacing w:after="0" w:line="240" w:lineRule="auto"/>
      </w:pPr>
      <w:r>
        <w:separator/>
      </w:r>
    </w:p>
  </w:footnote>
  <w:footnote w:type="continuationSeparator" w:id="0">
    <w:p w:rsidR="001C1A95" w:rsidRDefault="001C1A95" w:rsidP="00206003">
      <w:pPr>
        <w:spacing w:after="0" w:line="240" w:lineRule="auto"/>
      </w:pPr>
      <w:r>
        <w:continuationSeparator/>
      </w:r>
    </w:p>
  </w:footnote>
  <w:footnote w:id="1">
    <w:p w:rsidR="00206003" w:rsidRDefault="00206003" w:rsidP="00206003">
      <w:pPr>
        <w:pStyle w:val="Textonotapie"/>
        <w:jc w:val="both"/>
        <w:rPr>
          <w:rFonts w:ascii="Palatino Linotype" w:hAnsi="Palatino Linotype"/>
          <w:i/>
        </w:rPr>
      </w:pPr>
      <w:r>
        <w:rPr>
          <w:rStyle w:val="Refdenotaalpie"/>
        </w:rPr>
        <w:footnoteRef/>
      </w:r>
      <w:r>
        <w:t xml:space="preserve"> </w:t>
      </w:r>
      <w:r w:rsidRPr="00AF6ED9">
        <w:rPr>
          <w:rFonts w:ascii="Palatino Linotype" w:hAnsi="Palatino Linotype"/>
          <w:i/>
        </w:rPr>
        <w:t xml:space="preserve">Publicados en el Periódico Oficial “Gaceta del Gobierno” del Estado de México, el </w:t>
      </w:r>
      <w:r>
        <w:rPr>
          <w:rFonts w:ascii="Palatino Linotype" w:hAnsi="Palatino Linotype"/>
          <w:i/>
        </w:rPr>
        <w:t>30</w:t>
      </w:r>
      <w:r w:rsidRPr="00AF6ED9">
        <w:rPr>
          <w:rFonts w:ascii="Palatino Linotype" w:hAnsi="Palatino Linotype"/>
          <w:i/>
        </w:rPr>
        <w:t xml:space="preserve"> de octubre de</w:t>
      </w:r>
      <w:r>
        <w:rPr>
          <w:rFonts w:ascii="Palatino Linotype" w:hAnsi="Palatino Linotype"/>
          <w:i/>
        </w:rPr>
        <w:t xml:space="preserve"> 2018.</w:t>
      </w:r>
    </w:p>
    <w:p w:rsidR="00206003" w:rsidRDefault="00206003" w:rsidP="00206003">
      <w:pPr>
        <w:pStyle w:val="Textonotapie"/>
        <w:jc w:val="both"/>
      </w:pPr>
      <w:r>
        <w:rPr>
          <w:rFonts w:ascii="Palatino Linotype" w:hAnsi="Palatino Linotype"/>
          <w:i/>
        </w:rPr>
        <w:t>Cabe destacar que el lineamiento citado refiere al SICOSIEM (Sistema de Control de Solicitudes de Información del Estado de México), no obstante, el sistema actual se denomina SAIMEX (Sistema de Acceso a la Información Mexiquense).</w:t>
      </w:r>
    </w:p>
  </w:footnote>
  <w:footnote w:id="2">
    <w:p w:rsidR="00206003" w:rsidRPr="00BA45EA" w:rsidRDefault="00206003" w:rsidP="00206003">
      <w:pPr>
        <w:pStyle w:val="Textonotapie"/>
        <w:jc w:val="both"/>
        <w:rPr>
          <w:i/>
        </w:rPr>
      </w:pPr>
      <w:r w:rsidRPr="00BA45EA">
        <w:rPr>
          <w:rStyle w:val="Refdenotaalpie"/>
          <w:rFonts w:ascii="Palatino Linotype" w:hAnsi="Palatino Linotype"/>
          <w:i/>
        </w:rPr>
        <w:footnoteRef/>
      </w:r>
      <w:r w:rsidRPr="00BA45EA">
        <w:rPr>
          <w:rFonts w:ascii="Palatino Linotype" w:hAnsi="Palatino Linotype"/>
          <w:i/>
        </w:rPr>
        <w:t xml:space="preserve"> “El derecho de acceso a la información en</w:t>
      </w:r>
      <w:r>
        <w:rPr>
          <w:rFonts w:ascii="Palatino Linotype" w:hAnsi="Palatino Linotype"/>
          <w:i/>
        </w:rPr>
        <w:t xml:space="preserve"> </w:t>
      </w:r>
      <w:r w:rsidRPr="00BA45EA">
        <w:rPr>
          <w:rFonts w:ascii="Palatino Linotype" w:hAnsi="Palatino Linotype"/>
          <w:i/>
        </w:rPr>
        <w:t>el marco jurídico interamericano”.</w:t>
      </w:r>
      <w:r>
        <w:t xml:space="preserve"> </w:t>
      </w:r>
      <w:r w:rsidRPr="00BA45EA">
        <w:rPr>
          <w:rFonts w:ascii="Palatino Linotype" w:hAnsi="Palatino Linotype" w:cs="Bookman Old Style"/>
          <w:i/>
        </w:rPr>
        <w:t>Relatoría Especial para la Libertad de Expresión Comisión de Derechos Humanos</w:t>
      </w:r>
      <w:r>
        <w:rPr>
          <w:rFonts w:ascii="Palatino Linotype" w:hAnsi="Palatino Linotype" w:cs="Bookman Old Style"/>
          <w:i/>
        </w:rPr>
        <w:t>. Organización de los Estados Americanos.2010. página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9E6716">
    <w:pPr>
      <w:pStyle w:val="Encabezado"/>
    </w:pPr>
    <w:r>
      <w:rPr>
        <w:noProof/>
        <w:lang w:val="es-MX" w:eastAsia="es-MX"/>
      </w:rPr>
      <mc:AlternateContent>
        <mc:Choice Requires="wps">
          <w:drawing>
            <wp:anchor distT="0" distB="0" distL="114300" distR="114300" simplePos="0" relativeHeight="251656704" behindDoc="1" locked="0" layoutInCell="0" allowOverlap="1" wp14:anchorId="38F0BBCD" wp14:editId="06617A0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0307" w:rsidRDefault="009E6716"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8F0BBCD"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F0307" w:rsidRDefault="009E6716"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p w:rsidR="003A7B43" w:rsidRDefault="001C1A95"/>
  <w:p w:rsidR="003A7B43" w:rsidRDefault="001C1A9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9E6716" w:rsidP="007F0307">
    <w:pPr>
      <w:pStyle w:val="Encabezado"/>
      <w:jc w:val="right"/>
      <w:rPr>
        <w:rFonts w:ascii="Arial" w:hAnsi="Arial" w:cs="Arial"/>
        <w:sz w:val="20"/>
        <w:szCs w:val="20"/>
      </w:rPr>
    </w:pPr>
    <w:r>
      <w:rPr>
        <w:noProof/>
        <w:lang w:val="es-MX" w:eastAsia="es-MX"/>
      </w:rPr>
      <w:drawing>
        <wp:anchor distT="0" distB="0" distL="114300" distR="114300" simplePos="0" relativeHeight="251657728" behindDoc="1" locked="0" layoutInCell="1" allowOverlap="1" wp14:anchorId="6D2891D6" wp14:editId="486FA3B5">
          <wp:simplePos x="0" y="0"/>
          <wp:positionH relativeFrom="column">
            <wp:posOffset>-1102834</wp:posOffset>
          </wp:positionH>
          <wp:positionV relativeFrom="paragraph">
            <wp:posOffset>-475283</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rsidR="007F0307" w:rsidRDefault="001C1A95" w:rsidP="007F0307">
    <w:pPr>
      <w:pStyle w:val="Encabezado"/>
      <w:jc w:val="right"/>
      <w:rPr>
        <w:rFonts w:ascii="Arial" w:hAnsi="Arial" w:cs="Arial"/>
        <w:sz w:val="20"/>
        <w:szCs w:val="20"/>
      </w:rPr>
    </w:pPr>
  </w:p>
  <w:p w:rsidR="007F0307" w:rsidRDefault="001C1A95" w:rsidP="007F0307">
    <w:pPr>
      <w:pStyle w:val="Encabezado"/>
      <w:jc w:val="right"/>
      <w:rPr>
        <w:rFonts w:ascii="Arial" w:hAnsi="Arial" w:cs="Arial"/>
        <w:sz w:val="20"/>
        <w:szCs w:val="20"/>
      </w:rPr>
    </w:pPr>
  </w:p>
  <w:p w:rsidR="007F0307" w:rsidRPr="00563D0F" w:rsidRDefault="009E6716" w:rsidP="007F0307">
    <w:pPr>
      <w:pStyle w:val="Encabezado"/>
      <w:jc w:val="right"/>
      <w:rPr>
        <w:rFonts w:ascii="Palatino Linotype" w:hAnsi="Palatino Linotype" w:cs="Arial"/>
        <w:b/>
        <w:sz w:val="20"/>
        <w:szCs w:val="20"/>
      </w:rPr>
    </w:pPr>
    <w:r>
      <w:rPr>
        <w:rFonts w:ascii="Palatino Linotype" w:hAnsi="Palatino Linotype" w:cs="Arial"/>
        <w:b/>
        <w:sz w:val="20"/>
        <w:szCs w:val="20"/>
      </w:rPr>
      <w:t>VOTO PARTICULAR</w:t>
    </w:r>
    <w:r w:rsidR="00B74007">
      <w:rPr>
        <w:rFonts w:ascii="Palatino Linotype" w:hAnsi="Palatino Linotype" w:cs="Arial"/>
        <w:b/>
        <w:sz w:val="20"/>
        <w:szCs w:val="20"/>
      </w:rPr>
      <w:t xml:space="preserve"> CONCURRENTE</w:t>
    </w:r>
    <w:r w:rsidRPr="00563D0F">
      <w:rPr>
        <w:rFonts w:ascii="Palatino Linotype" w:hAnsi="Palatino Linotype" w:cs="Arial"/>
        <w:b/>
        <w:sz w:val="20"/>
        <w:szCs w:val="20"/>
      </w:rPr>
      <w:t xml:space="preserve"> </w:t>
    </w:r>
  </w:p>
  <w:p w:rsidR="007F0307" w:rsidRPr="00B976C5" w:rsidRDefault="009E6716" w:rsidP="00B976C5">
    <w:pPr>
      <w:pStyle w:val="Encabezado"/>
      <w:jc w:val="right"/>
      <w:rPr>
        <w:rFonts w:ascii="Palatino Linotype" w:hAnsi="Palatino Linotype"/>
        <w:b/>
        <w:sz w:val="22"/>
        <w:szCs w:val="22"/>
        <w:lang w:val="es-ES_tradnl"/>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Pr>
        <w:rFonts w:ascii="Palatino Linotype" w:hAnsi="Palatino Linotype"/>
        <w:b/>
        <w:sz w:val="22"/>
        <w:szCs w:val="22"/>
        <w:lang w:val="es-ES_tradnl"/>
      </w:rPr>
      <w:t>040</w:t>
    </w:r>
    <w:r w:rsidR="00206003">
      <w:rPr>
        <w:rFonts w:ascii="Palatino Linotype" w:hAnsi="Palatino Linotype"/>
        <w:b/>
        <w:sz w:val="22"/>
        <w:szCs w:val="22"/>
        <w:lang w:val="es-ES_tradnl"/>
      </w:rPr>
      <w:t>12</w:t>
    </w:r>
    <w:r>
      <w:rPr>
        <w:rFonts w:ascii="Palatino Linotype" w:hAnsi="Palatino Linotype"/>
        <w:b/>
        <w:sz w:val="22"/>
        <w:szCs w:val="22"/>
        <w:lang w:val="es-ES_tradnl"/>
      </w:rPr>
      <w:t>/INFOEM/IP/RR/2018</w:t>
    </w:r>
    <w:r w:rsidR="00206003">
      <w:rPr>
        <w:rFonts w:ascii="Palatino Linotype" w:hAnsi="Palatino Linotype"/>
        <w:b/>
        <w:sz w:val="22"/>
        <w:szCs w:val="22"/>
        <w:lang w:val="es-ES_tradnl"/>
      </w:rPr>
      <w:t xml:space="preserve"> Y ACUMULADO</w:t>
    </w:r>
    <w:r>
      <w:rPr>
        <w:rFonts w:ascii="Palatino Linotype" w:hAnsi="Palatino Linotype"/>
        <w:b/>
        <w:sz w:val="22"/>
        <w:szCs w:val="22"/>
        <w:lang w:val="es-ES_tradnl"/>
      </w:rPr>
      <w:t>.</w:t>
    </w:r>
  </w:p>
  <w:p w:rsidR="007F0307" w:rsidRDefault="001C1A95" w:rsidP="007F0307">
    <w:pPr>
      <w:pStyle w:val="Encabezado"/>
      <w:jc w:val="right"/>
      <w:rPr>
        <w:rFonts w:ascii="Palatino Linotype" w:hAnsi="Palatino Linotype" w:cs="Arial"/>
        <w:sz w:val="20"/>
        <w:szCs w:val="20"/>
      </w:rPr>
    </w:pPr>
  </w:p>
  <w:p w:rsidR="00D40FD0" w:rsidRDefault="001C1A95" w:rsidP="007F0307">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C7372"/>
    <w:multiLevelType w:val="hybridMultilevel"/>
    <w:tmpl w:val="3C18DB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D720C1D"/>
    <w:multiLevelType w:val="hybridMultilevel"/>
    <w:tmpl w:val="A7A4DBC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4BD1DC0"/>
    <w:multiLevelType w:val="hybridMultilevel"/>
    <w:tmpl w:val="F9142338"/>
    <w:lvl w:ilvl="0" w:tplc="080A0017">
      <w:start w:val="1"/>
      <w:numFmt w:val="lowerLetter"/>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3">
    <w:nsid w:val="4ACB09E6"/>
    <w:multiLevelType w:val="hybridMultilevel"/>
    <w:tmpl w:val="6C3E1F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7E4E4473"/>
    <w:multiLevelType w:val="hybridMultilevel"/>
    <w:tmpl w:val="7D5A7A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003"/>
    <w:rsid w:val="001C1A95"/>
    <w:rsid w:val="00206003"/>
    <w:rsid w:val="00586323"/>
    <w:rsid w:val="009E6716"/>
    <w:rsid w:val="00B74007"/>
    <w:rsid w:val="00FB1A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62C4314-F061-48D2-9B05-FCDA28B29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003"/>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6003"/>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20600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06003"/>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06003"/>
    <w:rPr>
      <w:rFonts w:ascii="Times New Roman" w:eastAsia="Times New Roman" w:hAnsi="Times New Roman" w:cs="Times New Roman"/>
      <w:sz w:val="24"/>
      <w:szCs w:val="24"/>
      <w:lang w:val="es-ES" w:eastAsia="es-ES"/>
    </w:rPr>
  </w:style>
  <w:style w:type="paragraph" w:styleId="NormalWeb">
    <w:name w:val="Normal (Web)"/>
    <w:basedOn w:val="Normal"/>
    <w:uiPriority w:val="99"/>
    <w:rsid w:val="0020600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06003"/>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06003"/>
    <w:rPr>
      <w:rFonts w:ascii="Times New Roman" w:eastAsia="Calibri" w:hAnsi="Times New Roman" w:cs="Times New Roman"/>
      <w:sz w:val="24"/>
      <w:szCs w:val="24"/>
      <w:lang w:val="es-ES" w:eastAsia="es-ES"/>
    </w:rPr>
  </w:style>
  <w:style w:type="character" w:styleId="Hipervnculo">
    <w:name w:val="Hyperlink"/>
    <w:basedOn w:val="Fuentedeprrafopredeter"/>
    <w:uiPriority w:val="99"/>
    <w:semiHidden/>
    <w:unhideWhenUsed/>
    <w:rsid w:val="00206003"/>
    <w:rPr>
      <w:color w:val="0000FF"/>
      <w:u w:val="single"/>
    </w:rPr>
  </w:style>
  <w:style w:type="character" w:styleId="nfasis">
    <w:name w:val="Emphasis"/>
    <w:basedOn w:val="Fuentedeprrafopredeter"/>
    <w:uiPriority w:val="20"/>
    <w:qFormat/>
    <w:rsid w:val="00206003"/>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0600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0600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206003"/>
    <w:rPr>
      <w:vertAlign w:val="superscript"/>
    </w:rPr>
  </w:style>
  <w:style w:type="table" w:styleId="Tablaconcuadrcula">
    <w:name w:val="Table Grid"/>
    <w:basedOn w:val="Tablanormal"/>
    <w:uiPriority w:val="59"/>
    <w:rsid w:val="002060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7400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40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2593</Words>
  <Characters>14263</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2019-01-21T20:34:00Z</cp:lastPrinted>
  <dcterms:created xsi:type="dcterms:W3CDTF">2019-01-17T23:01:00Z</dcterms:created>
  <dcterms:modified xsi:type="dcterms:W3CDTF">2019-01-21T20:41:00Z</dcterms:modified>
</cp:coreProperties>
</file>